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widowControl/>
        <w:jc w:val="left"/>
      </w:pPr>
      <w:r>
        <w:rPr>
          <w:rFonts w:ascii="Arial" w:hAnsi="Arial" w:eastAsia="Arial" w:cs="Arial"/>
        </w:rPr>
        <w:t xml:space="preserve">SRCF</w:t>
      </w:r>
      <w:r>
        <w:rPr>
          <w:rFonts w:ascii="Arial" w:hAnsi="Arial" w:eastAsia="Arial" w:cs="Arial"/>
        </w:rPr>
        <w:t xml:space="preserve"> </w:t>
      </w:r>
      <w:r>
        <w:rPr>
          <w:rFonts w:ascii="Arial" w:hAnsi="Arial" w:eastAsia="Arial" w:cs="Arial"/>
        </w:rPr>
        <w:t xml:space="preserve">Public</w:t>
      </w:r>
      <w:r>
        <w:rPr>
          <w:rFonts w:ascii="Arial" w:hAnsi="Arial" w:eastAsia="Arial" w:cs="Arial"/>
        </w:rPr>
        <w:t xml:space="preserve"> </w:t>
      </w:r>
      <w:r>
        <w:rPr>
          <w:rFonts w:ascii="Arial" w:hAnsi="Arial" w:eastAsia="Arial" w:cs="Arial"/>
        </w:rPr>
        <w:t xml:space="preserve">Reference</w:t>
      </w:r>
      <w:r>
        <w:rPr>
          <w:rFonts w:ascii="Arial" w:hAnsi="Arial" w:eastAsia="Arial" w:cs="Arial"/>
        </w:rPr>
        <w:t xml:space="preserve"> </w:t>
      </w:r>
      <w:r>
        <w:rPr>
          <w:rFonts w:ascii="Arial" w:hAnsi="Arial" w:eastAsia="Arial" w:cs="Arial"/>
        </w:rPr>
        <w:t xml:space="preserve">and</w:t>
      </w:r>
      <w:r>
        <w:rPr>
          <w:rFonts w:ascii="Arial" w:hAnsi="Arial" w:eastAsia="Arial" w:cs="Arial"/>
        </w:rPr>
        <w:t xml:space="preserve"> </w:t>
      </w:r>
      <w:r>
        <w:rPr>
          <w:rFonts w:ascii="Arial" w:hAnsi="Arial" w:eastAsia="Arial" w:cs="Arial"/>
        </w:rPr>
        <w:t xml:space="preserve">Adoption</w:t>
      </w:r>
      <w:r>
        <w:rPr>
          <w:rFonts w:ascii="Arial" w:hAnsi="Arial" w:eastAsia="Arial" w:cs="Arial"/>
        </w:rPr>
        <w:t xml:space="preserve"> </w:t>
      </w:r>
      <w:r>
        <w:rPr>
          <w:rFonts w:ascii="Arial" w:hAnsi="Arial" w:eastAsia="Arial" w:cs="Arial"/>
        </w:rPr>
        <w:t xml:space="preserve">Licence</w:t>
      </w:r>
    </w:p>
    <w:p>
      <w:pPr>
        <w:pStyle w:val="Subtitle"/>
        <w:widowControl/>
        <w:jc w:val="left"/>
      </w:pPr>
      <w:r>
        <w:rPr>
          <w:rFonts w:ascii="Arial" w:hAnsi="Arial" w:eastAsia="Arial" w:cs="Arial"/>
        </w:rPr>
        <w:t xml:space="preserve">Public</w:t>
      </w:r>
      <w:r>
        <w:rPr>
          <w:rFonts w:ascii="Arial" w:hAnsi="Arial" w:eastAsia="Arial" w:cs="Arial"/>
        </w:rPr>
        <w:t xml:space="preserve"> </w:t>
      </w:r>
      <w:r>
        <w:rPr>
          <w:rFonts w:ascii="Arial" w:hAnsi="Arial" w:eastAsia="Arial" w:cs="Arial"/>
        </w:rPr>
        <w:t xml:space="preserve">access,</w:t>
      </w:r>
      <w:r>
        <w:rPr>
          <w:rFonts w:ascii="Arial" w:hAnsi="Arial" w:eastAsia="Arial" w:cs="Arial"/>
        </w:rPr>
        <w:t xml:space="preserve"> </w:t>
      </w:r>
      <w:r>
        <w:rPr>
          <w:rFonts w:ascii="Arial" w:hAnsi="Arial" w:eastAsia="Arial" w:cs="Arial"/>
        </w:rPr>
        <w:t xml:space="preserve">internal</w:t>
      </w:r>
      <w:r>
        <w:rPr>
          <w:rFonts w:ascii="Arial" w:hAnsi="Arial" w:eastAsia="Arial" w:cs="Arial"/>
        </w:rPr>
        <w:t xml:space="preserve"> </w:t>
      </w:r>
      <w:r>
        <w:rPr>
          <w:rFonts w:ascii="Arial" w:hAnsi="Arial" w:eastAsia="Arial" w:cs="Arial"/>
        </w:rPr>
        <w:t xml:space="preserve">adoption,</w:t>
      </w:r>
      <w:r>
        <w:rPr>
          <w:rFonts w:ascii="Arial" w:hAnsi="Arial" w:eastAsia="Arial" w:cs="Arial"/>
        </w:rPr>
        <w:t xml:space="preserve"> </w:t>
      </w:r>
      <w:r>
        <w:rPr>
          <w:rFonts w:ascii="Arial" w:hAnsi="Arial" w:eastAsia="Arial" w:cs="Arial"/>
        </w:rPr>
        <w:t xml:space="preserve">academic</w:t>
      </w:r>
      <w:r>
        <w:rPr>
          <w:rFonts w:ascii="Arial" w:hAnsi="Arial" w:eastAsia="Arial" w:cs="Arial"/>
        </w:rPr>
        <w:t xml:space="preserve"> </w:t>
      </w:r>
      <w:r>
        <w:rPr>
          <w:rFonts w:ascii="Arial" w:hAnsi="Arial" w:eastAsia="Arial" w:cs="Arial"/>
        </w:rPr>
        <w:t xml:space="preserve">reference</w:t>
      </w:r>
      <w:r>
        <w:rPr>
          <w:rFonts w:ascii="Arial" w:hAnsi="Arial" w:eastAsia="Arial" w:cs="Arial"/>
        </w:rPr>
        <w:t xml:space="preserve"> </w:t>
      </w:r>
      <w:r>
        <w:rPr>
          <w:rFonts w:ascii="Arial" w:hAnsi="Arial" w:eastAsia="Arial" w:cs="Arial"/>
        </w:rPr>
        <w:t xml:space="preserve">and</w:t>
      </w:r>
      <w:r>
        <w:rPr>
          <w:rFonts w:ascii="Arial" w:hAnsi="Arial" w:eastAsia="Arial" w:cs="Arial"/>
        </w:rPr>
        <w:t xml:space="preserve"> </w:t>
      </w:r>
      <w:r>
        <w:rPr>
          <w:rFonts w:ascii="Arial" w:hAnsi="Arial" w:eastAsia="Arial" w:cs="Arial"/>
        </w:rPr>
        <w:t xml:space="preserve">limited</w:t>
      </w:r>
      <w:r>
        <w:rPr>
          <w:rFonts w:ascii="Arial" w:hAnsi="Arial" w:eastAsia="Arial" w:cs="Arial"/>
        </w:rPr>
        <w:t xml:space="preserve"> </w:t>
      </w:r>
      <w:r>
        <w:rPr>
          <w:rFonts w:ascii="Arial" w:hAnsi="Arial" w:eastAsia="Arial" w:cs="Arial"/>
        </w:rPr>
        <w:t xml:space="preserve">external</w:t>
      </w:r>
      <w:r>
        <w:rPr>
          <w:rFonts w:ascii="Arial" w:hAnsi="Arial" w:eastAsia="Arial" w:cs="Arial"/>
        </w:rPr>
        <w:t xml:space="preserve"> </w:t>
      </w:r>
      <w:r>
        <w:rPr>
          <w:rFonts w:ascii="Arial" w:hAnsi="Arial" w:eastAsia="Arial" w:cs="Arial"/>
        </w:rPr>
        <w:t xml:space="preserve">use</w:t>
      </w:r>
    </w:p>
    <w:p>
      <w:pPr>
        <w:pStyle w:val="Date"/>
        <w:widowControl/>
        <w:spacing w:after="240"/>
        <w:jc w:val="left"/>
      </w:pPr>
      <w:r>
        <w:rPr>
          <w:rFonts w:ascii="Arial" w:hAnsi="Arial" w:eastAsia="Arial" w:cs="Arial"/>
          <w:color w:val="5A5A5A"/>
          <w:sz w:val="18"/>
        </w:rPr>
        <w:t xml:space="preserve">Licence</w:t>
      </w:r>
      <w:r>
        <w:rPr>
          <w:rFonts w:ascii="Arial" w:hAnsi="Arial" w:eastAsia="Arial" w:cs="Arial"/>
          <w:color w:val="5A5A5A"/>
          <w:sz w:val="18"/>
        </w:rPr>
        <w:t xml:space="preserve"> </w:t>
      </w:r>
      <w:r>
        <w:rPr>
          <w:rFonts w:ascii="Arial" w:hAnsi="Arial" w:eastAsia="Arial" w:cs="Arial"/>
          <w:color w:val="5A5A5A"/>
          <w:sz w:val="18"/>
        </w:rPr>
        <w:t xml:space="preserve">version</w:t>
      </w:r>
      <w:r>
        <w:rPr>
          <w:rFonts w:ascii="Arial" w:hAnsi="Arial" w:eastAsia="Arial" w:cs="Arial"/>
          <w:color w:val="5A5A5A"/>
          <w:sz w:val="18"/>
        </w:rPr>
        <w:t xml:space="preserve"> </w:t>
      </w:r>
      <w:r>
        <w:rPr>
          <w:rFonts w:ascii="Arial" w:hAnsi="Arial" w:eastAsia="Arial" w:cs="Arial"/>
          <w:color w:val="5A5A5A"/>
          <w:sz w:val="18"/>
        </w:rPr>
        <w:t xml:space="preserve">1.2</w:t>
      </w:r>
      <w:r>
        <w:rPr>
          <w:rFonts w:ascii="Arial" w:hAnsi="Arial" w:eastAsia="Arial" w:cs="Arial"/>
          <w:color w:val="5A5A5A"/>
          <w:sz w:val="18"/>
        </w:rPr>
        <w:t xml:space="preserve"> </w:t>
      </w:r>
      <w:r>
        <w:rPr>
          <w:rFonts w:ascii="Arial" w:hAnsi="Arial" w:eastAsia="Arial" w:cs="Arial"/>
          <w:color w:val="5A5A5A"/>
          <w:sz w:val="18"/>
        </w:rPr>
        <w:t xml:space="preserve">-</w:t>
      </w:r>
      <w:r>
        <w:rPr>
          <w:rFonts w:ascii="Arial" w:hAnsi="Arial" w:eastAsia="Arial" w:cs="Arial"/>
          <w:color w:val="5A5A5A"/>
          <w:sz w:val="18"/>
        </w:rPr>
        <w:t xml:space="preserve"> </w:t>
      </w:r>
      <w:r>
        <w:rPr>
          <w:rFonts w:ascii="Arial" w:hAnsi="Arial" w:eastAsia="Arial" w:cs="Arial"/>
          <w:color w:val="5A5A5A"/>
          <w:sz w:val="18"/>
        </w:rPr>
        <w:t xml:space="preserve">22</w:t>
      </w:r>
      <w:r>
        <w:rPr>
          <w:rFonts w:ascii="Arial" w:hAnsi="Arial" w:eastAsia="Arial" w:cs="Arial"/>
          <w:color w:val="5A5A5A"/>
          <w:sz w:val="18"/>
        </w:rPr>
        <w:t xml:space="preserve"> </w:t>
      </w:r>
      <w:r>
        <w:rPr>
          <w:rFonts w:ascii="Arial" w:hAnsi="Arial" w:eastAsia="Arial" w:cs="Arial"/>
          <w:color w:val="5A5A5A"/>
          <w:sz w:val="18"/>
        </w:rPr>
        <w:t xml:space="preserve">August</w:t>
      </w:r>
      <w:r>
        <w:rPr>
          <w:rFonts w:ascii="Arial" w:hAnsi="Arial" w:eastAsia="Arial" w:cs="Arial"/>
          <w:color w:val="5A5A5A"/>
          <w:sz w:val="18"/>
        </w:rPr>
        <w:t xml:space="preserve"> </w:t>
      </w:r>
      <w:r>
        <w:rPr>
          <w:rFonts w:ascii="Arial" w:hAnsi="Arial" w:eastAsia="Arial" w:cs="Arial"/>
          <w:color w:val="5A5A5A"/>
          <w:sz w:val="18"/>
        </w:rPr>
        <w:t xml:space="preserve">2026</w:t>
      </w:r>
    </w:p>
    <w:p>
      <w:pPr>
        <w:pStyle w:val="FirstParagraph"/>
        <w:widowControl/>
      </w:pPr>
      <w:r>
        <w:rPr>
          <w:rFonts w:ascii="Arial" w:hAnsi="Arial" w:eastAsia="Arial" w:cs="Arial"/>
          <w:b/>
          <w:bCs/>
          <w:sz w:val="20"/>
        </w:rPr>
        <w:t xml:space="preserve">Effective only for each SRCF Framework Release that expressly identifies this Licence as applying to it</w:t>
      </w:r>
    </w:p>
    <w:p>
      <w:pPr>
        <w:pStyle w:val="BodyText"/>
        <w:widowControl/>
      </w:pPr>
      <w:r>
        <w:rPr>
          <w:rFonts w:ascii="Arial" w:hAnsi="Arial" w:eastAsia="Arial" w:cs="Arial"/>
          <w:sz w:val="20"/>
        </w:rPr>
        <w:t xml:space="preserve">© 2026 London Reporting Academy Limited. All rights reserved except as expressly licensed below.</w:t>
      </w:r>
    </w:p>
    <w:bookmarkStart w:id="20" w:name="plain-english-summary"/>
    <w:p>
      <w:pPr>
        <w:pStyle w:val="Heading1"/>
        <w:widowControl/>
      </w:pPr>
      <w:r>
        <w:rPr>
          <w:rFonts w:ascii="Arial" w:hAnsi="Arial" w:eastAsia="Arial" w:cs="Arial"/>
        </w:rPr>
        <w:t xml:space="preserve">Plain-English summary</w:t>
      </w:r>
    </w:p>
    <w:p>
      <w:pPr>
        <w:pStyle w:val="FirstParagraph"/>
        <w:widowControl/>
      </w:pPr>
      <w:r>
        <w:rPr>
          <w:rFonts w:ascii="Arial" w:hAnsi="Arial" w:eastAsia="Arial" w:cs="Arial"/>
          <w:sz w:val="20"/>
        </w:rPr>
        <w:t xml:space="preserve">This summary is for convenience only. The numbered clauses are the legal terms and prevail if there is any inconsistency.</w:t>
      </w:r>
    </w:p>
    <w:tbl>
      <w:tblPr>
        <w:tblStyle w:val="TableGrid"/>
        <w:tblW w:type="pct" w:w="5000"/>
        <w:jc w:val="center"/>
        <w:tblLayout w:type="autofit"/>
        <w:tblLook w:firstRow="1" w:lastRow="0" w:firstColumn="0" w:lastColumn="0" w:noHBand="0" w:noVBand="0" w:val="0020"/>
      </w:tblPr>
      <w:tblGrid>
        <w:gridCol w:w="2640"/>
        <w:gridCol w:w="2640"/>
        <w:gridCol w:w="2640"/>
      </w:tblGrid>
      <w:tr>
        <w:trPr>
          <w:tblHeader w:val="true"/>
          <w:cantSplit/>
        </w:trPr>
        <w:tc>
          <w:tcPr>
            <w:vAlign w:val="top"/>
            <w:shd w:fill="E8EDF3"/>
          </w:tcPr>
          <w:p>
            <w:pPr>
              <w:widowControl/>
              <w:spacing w:before="0" w:after="46" w:line="240" w:lineRule="auto"/>
              <w:jc w:val="left"/>
            </w:pPr>
            <w:r>
              <w:rPr>
                <w:rFonts w:ascii="Arial" w:hAnsi="Arial" w:eastAsia="Arial" w:cs="Arial"/>
                <w:b/>
                <w:sz w:val="16"/>
              </w:rPr>
              <w:t xml:space="preserve">You may do without charge</w:t>
            </w:r>
          </w:p>
        </w:tc>
        <w:tc>
          <w:tcPr>
            <w:vAlign w:val="top"/>
            <w:shd w:fill="E8EDF3"/>
          </w:tcPr>
          <w:p>
            <w:pPr>
              <w:widowControl/>
              <w:spacing w:before="0" w:after="46" w:line="240" w:lineRule="auto"/>
              <w:jc w:val="left"/>
            </w:pPr>
            <w:r>
              <w:rPr>
                <w:rFonts w:ascii="Arial" w:hAnsi="Arial" w:eastAsia="Arial" w:cs="Arial"/>
                <w:b/>
                <w:sz w:val="16"/>
              </w:rPr>
              <w:t xml:space="preserve">You need a separate written licence to do</w:t>
            </w:r>
          </w:p>
        </w:tc>
        <w:tc>
          <w:tcPr>
            <w:vAlign w:val="top"/>
            <w:shd w:fill="E8EDF3"/>
          </w:tcPr>
          <w:p>
            <w:pPr>
              <w:widowControl/>
              <w:spacing w:before="0" w:after="46" w:line="240" w:lineRule="auto"/>
              <w:jc w:val="left"/>
            </w:pPr>
            <w:r>
              <w:rPr>
                <w:rFonts w:ascii="Arial" w:hAnsi="Arial" w:eastAsia="Arial" w:cs="Arial"/>
                <w:b/>
                <w:sz w:val="16"/>
              </w:rPr>
              <w:t xml:space="preserve">You must not claim without a separate written grant</w:t>
            </w:r>
          </w:p>
        </w:tc>
      </w:tr>
      <w:tr>
        <w:trPr>
          <w:cantSplit/>
        </w:trPr>
        <w:tc>
          <w:tcPr>
            <w:vAlign w:val="top"/>
          </w:tcPr>
          <w:p>
            <w:pPr>
              <w:widowControl/>
              <w:spacing w:before="0" w:after="46" w:line="240" w:lineRule="auto"/>
              <w:jc w:val="left"/>
            </w:pPr>
            <w:r>
              <w:rPr>
                <w:rFonts w:ascii="Arial" w:hAnsi="Arial" w:eastAsia="Arial" w:cs="Arial"/>
                <w:sz w:val="16"/>
              </w:rPr>
              <w:t xml:space="preserve">Read and download an official public Release; use it for personal and internal organisational purposes; create internal role and capability materials; quote limited extracts; independently map curricula or qualifications and teach about SRCF, including in a fee-charging programme; publish research and factual mappings; and make the limited bespoke adviser use in clause 5.</w:t>
            </w:r>
          </w:p>
        </w:tc>
        <w:tc>
          <w:tcPr>
            <w:vAlign w:val="top"/>
          </w:tcPr>
          <w:p>
            <w:pPr>
              <w:widowControl/>
              <w:spacing w:before="0" w:after="46" w:line="240" w:lineRule="auto"/>
              <w:jc w:val="left"/>
            </w:pPr>
            <w:r>
              <w:rPr>
                <w:rFonts w:ascii="Arial" w:hAnsi="Arial" w:eastAsia="Arial" w:cs="Arial"/>
                <w:sz w:val="16"/>
              </w:rPr>
              <w:t xml:space="preserve">Deliver an official or SRCF-branded programme; use official courseware or substantial SRCF content; obtain official curriculum alignment; assess or credential people; publish translations or adaptations; build reusable diagnostics, software, APIs, AI/retrieval products or data products; or use official partner, alignment or technology marks.</w:t>
            </w:r>
          </w:p>
        </w:tc>
        <w:tc>
          <w:tcPr>
            <w:vAlign w:val="top"/>
          </w:tcPr>
          <w:p>
            <w:pPr>
              <w:widowControl/>
              <w:spacing w:before="0" w:after="46" w:line="240" w:lineRule="auto"/>
              <w:jc w:val="left"/>
            </w:pPr>
            <w:r>
              <w:rPr>
                <w:rFonts w:ascii="Arial" w:hAnsi="Arial" w:eastAsia="Arial" w:cs="Arial"/>
                <w:sz w:val="16"/>
              </w:rPr>
              <w:t xml:space="preserve">That a person, course, institution, product, service, assessment or technology is SRCF-aligned, approved, accredited, certified, endorsed, licensed or verified unless London Reporting Academy Limited has granted the exact status in writing under a published scheme.</w:t>
            </w:r>
          </w:p>
        </w:tc>
      </w:tr>
    </w:tbl>
    <w:p>
      <w:pPr>
        <w:pStyle w:val="BodyText"/>
        <w:widowControl/>
      </w:pPr>
      <w:r>
        <w:rPr>
          <w:rFonts w:ascii="Arial" w:hAnsi="Arial" w:eastAsia="Arial" w:cs="Arial"/>
          <w:sz w:val="20"/>
        </w:rPr>
        <w:t xml:space="preserve">The permissions are use-based. Charging tuition, earning consultancy fees or being a commercial organisation does not by itself require a separate licence. The trigger is the activity, reproduction, integration or official claim.</w:t>
      </w:r>
    </w:p>
    <w:bookmarkEnd w:id="20"/>
    <w:bookmarkStart w:id="21" w:name="about-this-licence-and-acceptance"/>
    <w:p>
      <w:pPr>
        <w:pStyle w:val="Heading1"/>
        <w:widowControl/>
      </w:pPr>
      <w:r>
        <w:rPr>
          <w:rFonts w:ascii="Arial" w:hAnsi="Arial" w:eastAsia="Arial" w:cs="Arial"/>
        </w:rPr>
        <w:t xml:space="preserve">1. About this Licence and acceptance</w:t>
      </w:r>
    </w:p>
    <w:p>
      <w:pPr>
        <w:pStyle w:val="FirstParagraph"/>
        <w:widowControl/>
      </w:pPr>
      <w:r>
        <w:rPr>
          <w:rFonts w:ascii="Arial" w:hAnsi="Arial" w:eastAsia="Arial" w:cs="Arial"/>
          <w:sz w:val="20"/>
        </w:rPr>
        <w:t xml:space="preserve">1.1 London Reporting Academy Limited makes specified materials from the Sustainability Reporting Competency Framework (</w:t>
      </w:r>
      <w:r>
        <w:rPr>
          <w:rFonts w:ascii="Arial" w:hAnsi="Arial" w:eastAsia="Arial" w:cs="Arial"/>
          <w:b/>
          <w:bCs/>
          <w:sz w:val="20"/>
        </w:rPr>
        <w:t xml:space="preserve">SRCF</w:t>
      </w:r>
      <w:r>
        <w:rPr>
          <w:rFonts w:ascii="Arial" w:hAnsi="Arial" w:eastAsia="Arial" w:cs="Arial"/>
          <w:sz w:val="20"/>
        </w:rPr>
        <w:t xml:space="preserve">) available under this SRCF Public Reference and Adoption Licence (</w:t>
      </w:r>
      <w:r>
        <w:rPr>
          <w:rFonts w:ascii="Arial" w:hAnsi="Arial" w:eastAsia="Arial" w:cs="Arial"/>
          <w:b/>
          <w:bCs/>
          <w:sz w:val="20"/>
        </w:rPr>
        <w:t xml:space="preserve">Licence</w:t>
      </w:r>
      <w:r>
        <w:rPr>
          <w:rFonts w:ascii="Arial" w:hAnsi="Arial" w:eastAsia="Arial" w:cs="Arial"/>
          <w:sz w:val="20"/>
        </w:rPr>
        <w:t xml:space="preserve">).</w:t>
      </w:r>
    </w:p>
    <w:p>
      <w:pPr>
        <w:pStyle w:val="BodyText"/>
        <w:widowControl/>
      </w:pPr>
      <w:r>
        <w:rPr>
          <w:rFonts w:ascii="Arial" w:hAnsi="Arial" w:eastAsia="Arial" w:cs="Arial"/>
          <w:sz w:val="20"/>
        </w:rPr>
        <w:t xml:space="preserve">1.2 You do not need to accept this Licence merely to read Framework Materials that are publicly accessible. By copying, extracting, adapting, distributing or otherwise exercising a permission granted by this Licence, you accept its terms. If you act for an organisation, you confirm that you have authority to bind it.</w:t>
      </w:r>
    </w:p>
    <w:p>
      <w:pPr>
        <w:pStyle w:val="BodyText"/>
        <w:widowControl/>
      </w:pPr>
      <w:r>
        <w:rPr>
          <w:rFonts w:ascii="Arial" w:hAnsi="Arial" w:eastAsia="Arial" w:cs="Arial"/>
          <w:sz w:val="20"/>
        </w:rPr>
        <w:t xml:space="preserve">1.3 This Licence grants only permissions that the Licensor is legally able to grant. It does not restrict any use that may lawfully be made without permission under an applicable statutory exception or limitation.</w:t>
      </w:r>
    </w:p>
    <w:p>
      <w:pPr>
        <w:pStyle w:val="BodyText"/>
        <w:widowControl/>
      </w:pPr>
      <w:r>
        <w:rPr>
          <w:rFonts w:ascii="Arial" w:hAnsi="Arial" w:eastAsia="Arial" w:cs="Arial"/>
          <w:sz w:val="20"/>
        </w:rPr>
        <w:t xml:space="preserve">1.4 No fee is payable for the permissions expressly granted. A use outside those permissions requires a separate written licence if the Licensor is willing to grant one.</w:t>
      </w:r>
    </w:p>
    <w:p>
      <w:pPr>
        <w:pStyle w:val="BodyText"/>
        <w:widowControl/>
      </w:pPr>
      <w:r>
        <w:rPr>
          <w:rFonts w:ascii="Arial" w:hAnsi="Arial" w:eastAsia="Arial" w:cs="Arial"/>
          <w:sz w:val="20"/>
        </w:rPr>
        <w:t xml:space="preserve">1.5 If the Licensor publishes a future official SRCF Framework Release, it will make core permissions materially equivalent to access, personal use, Internal Use, reasonable quotation and independent academic reference available without a licence fee. This commitment does not require the Licensor to publish or maintain a Release, or to make premium files, machine-readable datasets, APIs, software, assessment materials, Marks or official status rights available without charge.</w:t>
      </w:r>
    </w:p>
    <w:bookmarkEnd w:id="21"/>
    <w:bookmarkStart w:id="22" w:name="definitions"/>
    <w:p>
      <w:pPr>
        <w:pStyle w:val="Heading1"/>
        <w:widowControl/>
      </w:pPr>
      <w:r>
        <w:rPr>
          <w:rFonts w:ascii="Arial" w:hAnsi="Arial" w:eastAsia="Arial" w:cs="Arial"/>
        </w:rPr>
        <w:t xml:space="preserve">2. Definitions</w:t>
      </w:r>
    </w:p>
    <w:p>
      <w:pPr>
        <w:pStyle w:val="FirstParagraph"/>
        <w:widowControl/>
      </w:pPr>
      <w:r>
        <w:rPr>
          <w:rFonts w:ascii="Arial" w:hAnsi="Arial" w:eastAsia="Arial" w:cs="Arial"/>
          <w:sz w:val="20"/>
        </w:rPr>
        <w:t xml:space="preserve">In this Licence:</w:t>
      </w:r>
    </w:p>
    <w:p>
      <w:pPr>
        <w:pStyle w:val="BodyText"/>
        <w:widowControl/>
      </w:pPr>
      <w:r>
        <w:rPr>
          <w:rFonts w:ascii="Arial" w:hAnsi="Arial" w:eastAsia="Arial" w:cs="Arial"/>
          <w:b/>
          <w:bCs/>
          <w:sz w:val="20"/>
        </w:rPr>
        <w:t xml:space="preserve">Affiliate</w:t>
      </w:r>
      <w:r>
        <w:rPr>
          <w:rFonts w:ascii="Arial" w:hAnsi="Arial" w:eastAsia="Arial" w:cs="Arial"/>
          <w:sz w:val="20"/>
        </w:rPr>
        <w:t xml:space="preserve"> </w:t>
      </w:r>
      <w:r>
        <w:rPr>
          <w:rFonts w:ascii="Arial" w:hAnsi="Arial" w:eastAsia="Arial" w:cs="Arial"/>
          <w:sz w:val="20"/>
        </w:rPr>
        <w:t xml:space="preserve">means an entity that directly or indirectly Controls, is Controlled by or is under common Control with you.</w:t>
      </w:r>
      <w:r>
        <w:rPr>
          <w:rFonts w:ascii="Arial" w:hAnsi="Arial" w:eastAsia="Arial" w:cs="Arial"/>
          <w:sz w:val="20"/>
        </w:rPr>
        <w:t xml:space="preserve"> </w:t>
      </w:r>
      <w:r>
        <w:rPr>
          <w:rFonts w:ascii="Arial" w:hAnsi="Arial" w:eastAsia="Arial" w:cs="Arial"/>
          <w:b/>
          <w:bCs/>
          <w:sz w:val="20"/>
        </w:rPr>
        <w:t xml:space="preserve">Control</w:t>
      </w:r>
      <w:r>
        <w:rPr>
          <w:rFonts w:ascii="Arial" w:hAnsi="Arial" w:eastAsia="Arial" w:cs="Arial"/>
          <w:sz w:val="20"/>
        </w:rPr>
        <w:t xml:space="preserve"> </w:t>
      </w:r>
      <w:r>
        <w:rPr>
          <w:rFonts w:ascii="Arial" w:hAnsi="Arial" w:eastAsia="Arial" w:cs="Arial"/>
          <w:sz w:val="20"/>
        </w:rPr>
        <w:t xml:space="preserve">means ownership of more than 50% of voting rights or the legal power to direct management.</w:t>
      </w:r>
    </w:p>
    <w:p>
      <w:pPr>
        <w:pStyle w:val="BodyText"/>
        <w:widowControl/>
      </w:pPr>
      <w:r>
        <w:rPr>
          <w:rFonts w:ascii="Arial" w:hAnsi="Arial" w:eastAsia="Arial" w:cs="Arial"/>
          <w:b/>
          <w:bCs/>
          <w:sz w:val="20"/>
        </w:rPr>
        <w:t xml:space="preserve">Academic Reference Use</w:t>
      </w:r>
      <w:r>
        <w:rPr>
          <w:rFonts w:ascii="Arial" w:hAnsi="Arial" w:eastAsia="Arial" w:cs="Arial"/>
          <w:sz w:val="20"/>
        </w:rPr>
        <w:t xml:space="preserve"> </w:t>
      </w:r>
      <w:r>
        <w:rPr>
          <w:rFonts w:ascii="Arial" w:hAnsi="Arial" w:eastAsia="Arial" w:cs="Arial"/>
          <w:sz w:val="20"/>
        </w:rPr>
        <w:t xml:space="preserve">means independent teaching about SRCF, academic analysis, curriculum or qualification mapping, research or scholarly use which does not use an Official Status, official courseware or substantial reproduction and does not present the programme, institution or output as approved, aligned, accredited, licensed or endorsed by the Licensor.</w:t>
      </w:r>
    </w:p>
    <w:p>
      <w:pPr>
        <w:pStyle w:val="BodyText"/>
        <w:widowControl/>
      </w:pPr>
      <w:r>
        <w:rPr>
          <w:rFonts w:ascii="Arial" w:hAnsi="Arial" w:eastAsia="Arial" w:cs="Arial"/>
          <w:b/>
          <w:bCs/>
          <w:sz w:val="20"/>
        </w:rPr>
        <w:t xml:space="preserve">Bespoke Client Deliverable</w:t>
      </w:r>
      <w:r>
        <w:rPr>
          <w:rFonts w:ascii="Arial" w:hAnsi="Arial" w:eastAsia="Arial" w:cs="Arial"/>
          <w:sz w:val="20"/>
        </w:rPr>
        <w:t xml:space="preserve"> </w:t>
      </w:r>
      <w:r>
        <w:rPr>
          <w:rFonts w:ascii="Arial" w:hAnsi="Arial" w:eastAsia="Arial" w:cs="Arial"/>
          <w:sz w:val="20"/>
        </w:rPr>
        <w:t xml:space="preserve">means a deliverable prepared specifically for one client in response to that client’s facts and requirements. It does not include a standardised or productised methodology, toolkit, template set, course, assessment, software product, platform or other offering marketed or materially reused across clients.</w:t>
      </w:r>
    </w:p>
    <w:p>
      <w:pPr>
        <w:pStyle w:val="BodyText"/>
        <w:widowControl/>
      </w:pPr>
      <w:r>
        <w:rPr>
          <w:rFonts w:ascii="Arial" w:hAnsi="Arial" w:eastAsia="Arial" w:cs="Arial"/>
          <w:b/>
          <w:bCs/>
          <w:sz w:val="20"/>
        </w:rPr>
        <w:t xml:space="preserve">Business User</w:t>
      </w:r>
      <w:r>
        <w:rPr>
          <w:rFonts w:ascii="Arial" w:hAnsi="Arial" w:eastAsia="Arial" w:cs="Arial"/>
          <w:sz w:val="20"/>
        </w:rPr>
        <w:t xml:space="preserve"> </w:t>
      </w:r>
      <w:r>
        <w:rPr>
          <w:rFonts w:ascii="Arial" w:hAnsi="Arial" w:eastAsia="Arial" w:cs="Arial"/>
          <w:sz w:val="20"/>
        </w:rPr>
        <w:t xml:space="preserve">means a person using the Framework Materials wholly or mainly for purposes relating to that person’s trade, business, craft or profession.</w:t>
      </w:r>
    </w:p>
    <w:p>
      <w:pPr>
        <w:pStyle w:val="BodyText"/>
        <w:widowControl/>
      </w:pPr>
      <w:r>
        <w:rPr>
          <w:rFonts w:ascii="Arial" w:hAnsi="Arial" w:eastAsia="Arial" w:cs="Arial"/>
          <w:b/>
          <w:bCs/>
          <w:sz w:val="20"/>
        </w:rPr>
        <w:t xml:space="preserve">Consumer</w:t>
      </w:r>
      <w:r>
        <w:rPr>
          <w:rFonts w:ascii="Arial" w:hAnsi="Arial" w:eastAsia="Arial" w:cs="Arial"/>
          <w:sz w:val="20"/>
        </w:rPr>
        <w:t xml:space="preserve"> </w:t>
      </w:r>
      <w:r>
        <w:rPr>
          <w:rFonts w:ascii="Arial" w:hAnsi="Arial" w:eastAsia="Arial" w:cs="Arial"/>
          <w:sz w:val="20"/>
        </w:rPr>
        <w:t xml:space="preserve">means an individual using the Framework Materials wholly or mainly for purposes outside that individual’s trade, business, craft or profession.</w:t>
      </w:r>
    </w:p>
    <w:p>
      <w:pPr>
        <w:pStyle w:val="BodyText"/>
        <w:widowControl/>
      </w:pPr>
      <w:r>
        <w:rPr>
          <w:rFonts w:ascii="Arial" w:hAnsi="Arial" w:eastAsia="Arial" w:cs="Arial"/>
          <w:b/>
          <w:bCs/>
          <w:sz w:val="20"/>
        </w:rPr>
        <w:t xml:space="preserve">Control</w:t>
      </w:r>
      <w:r>
        <w:rPr>
          <w:rFonts w:ascii="Arial" w:hAnsi="Arial" w:eastAsia="Arial" w:cs="Arial"/>
          <w:sz w:val="20"/>
        </w:rPr>
        <w:t xml:space="preserve"> </w:t>
      </w:r>
      <w:r>
        <w:rPr>
          <w:rFonts w:ascii="Arial" w:hAnsi="Arial" w:eastAsia="Arial" w:cs="Arial"/>
          <w:sz w:val="20"/>
        </w:rPr>
        <w:t xml:space="preserve">has the meaning given under Affiliate.</w:t>
      </w:r>
    </w:p>
    <w:p>
      <w:pPr>
        <w:pStyle w:val="BodyText"/>
        <w:widowControl/>
      </w:pPr>
      <w:r>
        <w:rPr>
          <w:rFonts w:ascii="Arial" w:hAnsi="Arial" w:eastAsia="Arial" w:cs="Arial"/>
          <w:b/>
          <w:bCs/>
          <w:sz w:val="20"/>
        </w:rPr>
        <w:t xml:space="preserve">Council</w:t>
      </w:r>
      <w:r>
        <w:rPr>
          <w:rFonts w:ascii="Arial" w:hAnsi="Arial" w:eastAsia="Arial" w:cs="Arial"/>
          <w:sz w:val="20"/>
        </w:rPr>
        <w:t xml:space="preserve"> </w:t>
      </w:r>
      <w:r>
        <w:rPr>
          <w:rFonts w:ascii="Arial" w:hAnsi="Arial" w:eastAsia="Arial" w:cs="Arial"/>
          <w:sz w:val="20"/>
        </w:rPr>
        <w:t xml:space="preserve">means the SRCF Technical Council constituted by the Licensor under the SRCF Governance and Due Process Charter. It is an internal governance committee and not a separate legal person.</w:t>
      </w:r>
    </w:p>
    <w:p>
      <w:pPr>
        <w:pStyle w:val="BodyText"/>
        <w:widowControl/>
      </w:pPr>
      <w:r>
        <w:rPr>
          <w:rFonts w:ascii="Arial" w:hAnsi="Arial" w:eastAsia="Arial" w:cs="Arial"/>
          <w:b/>
          <w:bCs/>
          <w:sz w:val="20"/>
        </w:rPr>
        <w:t xml:space="preserve">External Offering</w:t>
      </w:r>
      <w:r>
        <w:rPr>
          <w:rFonts w:ascii="Arial" w:hAnsi="Arial" w:eastAsia="Arial" w:cs="Arial"/>
          <w:sz w:val="20"/>
        </w:rPr>
        <w:t xml:space="preserve"> </w:t>
      </w:r>
      <w:r>
        <w:rPr>
          <w:rFonts w:ascii="Arial" w:hAnsi="Arial" w:eastAsia="Arial" w:cs="Arial"/>
          <w:sz w:val="20"/>
        </w:rPr>
        <w:t xml:space="preserve">means a product, service, programme, publication, platform, tool or other offering supplied to one or more third parties, whether for payment, other commercial advantage or without charge, where the Framework Materials materially contribute to its protected content, structure, methodology, function or official marketing. An Academic Reference Use or Bespoke Client Deliverable permitted by this Licence is not an External Offering to the extent that it remains within the applicable limits.</w:t>
      </w:r>
    </w:p>
    <w:p>
      <w:pPr>
        <w:pStyle w:val="BodyText"/>
        <w:widowControl/>
      </w:pPr>
      <w:r>
        <w:rPr>
          <w:rFonts w:ascii="Arial" w:hAnsi="Arial" w:eastAsia="Arial" w:cs="Arial"/>
          <w:b/>
          <w:bCs/>
          <w:sz w:val="20"/>
        </w:rPr>
        <w:t xml:space="preserve">Framework Materials</w:t>
      </w:r>
      <w:r>
        <w:rPr>
          <w:rFonts w:ascii="Arial" w:hAnsi="Arial" w:eastAsia="Arial" w:cs="Arial"/>
          <w:sz w:val="20"/>
        </w:rPr>
        <w:t xml:space="preserve"> </w:t>
      </w:r>
      <w:r>
        <w:rPr>
          <w:rFonts w:ascii="Arial" w:hAnsi="Arial" w:eastAsia="Arial" w:cs="Arial"/>
          <w:sz w:val="20"/>
        </w:rPr>
        <w:t xml:space="preserve">means the public textual and graphical content of an identified versioned SRCF Framework Release which the Licensor expressly identifies as covered by this Licence. It may include domains, areas, competency units, knowledge, skills, behaviours, tasks, outputs, proficiency indicators, evidence descriptions, role profiles, mappings, definitions, calibration rules and boundary maps.</w:t>
      </w:r>
    </w:p>
    <w:p>
      <w:pPr>
        <w:pStyle w:val="BodyText"/>
        <w:widowControl/>
      </w:pPr>
      <w:r>
        <w:rPr>
          <w:rFonts w:ascii="Arial" w:hAnsi="Arial" w:eastAsia="Arial" w:cs="Arial"/>
          <w:sz w:val="20"/>
        </w:rPr>
        <w:t xml:space="preserve">Framework Materials do not include, unless expressly identified as covered: developer or data packs; machine-readable datasets; APIs; software or source code; model weights; assessment questions or exam materials; courseware; credential or badge artwork; Marks; confidential material; or third-party content.</w:t>
      </w:r>
    </w:p>
    <w:p>
      <w:pPr>
        <w:pStyle w:val="BodyText"/>
        <w:widowControl/>
      </w:pPr>
      <w:r>
        <w:rPr>
          <w:rFonts w:ascii="Arial" w:hAnsi="Arial" w:eastAsia="Arial" w:cs="Arial"/>
          <w:b/>
          <w:bCs/>
          <w:sz w:val="20"/>
        </w:rPr>
        <w:t xml:space="preserve">Independent Mapping</w:t>
      </w:r>
      <w:r>
        <w:rPr>
          <w:rFonts w:ascii="Arial" w:hAnsi="Arial" w:eastAsia="Arial" w:cs="Arial"/>
          <w:sz w:val="20"/>
        </w:rPr>
        <w:t xml:space="preserve"> </w:t>
      </w:r>
      <w:r>
        <w:rPr>
          <w:rFonts w:ascii="Arial" w:hAnsi="Arial" w:eastAsia="Arial" w:cs="Arial"/>
          <w:sz w:val="20"/>
        </w:rPr>
        <w:t xml:space="preserve">means a mapping prepared by a person other than the Licensor which identifies relationships with a stated SRCF version but has not been reviewed or granted Official Status by the Licensor.</w:t>
      </w:r>
    </w:p>
    <w:p>
      <w:pPr>
        <w:pStyle w:val="BodyText"/>
        <w:widowControl/>
      </w:pPr>
      <w:r>
        <w:rPr>
          <w:rFonts w:ascii="Arial" w:hAnsi="Arial" w:eastAsia="Arial" w:cs="Arial"/>
          <w:b/>
          <w:bCs/>
          <w:sz w:val="20"/>
        </w:rPr>
        <w:t xml:space="preserve">Internal Use</w:t>
      </w:r>
      <w:r>
        <w:rPr>
          <w:rFonts w:ascii="Arial" w:hAnsi="Arial" w:eastAsia="Arial" w:cs="Arial"/>
          <w:sz w:val="20"/>
        </w:rPr>
        <w:t xml:space="preserve"> </w:t>
      </w:r>
      <w:r>
        <w:rPr>
          <w:rFonts w:ascii="Arial" w:hAnsi="Arial" w:eastAsia="Arial" w:cs="Arial"/>
          <w:sz w:val="20"/>
        </w:rPr>
        <w:t xml:space="preserve">means use solely for your own internal purposes and those of your Affiliates by your Personnel within systems accessible only to them. It includes personal development, workforce planning, internal recruitment and role design, internal capability review, internal self-assessment and training designed and delivered by your own Personnel for your own Personnel. It does not include supplying an External Offering or services to a third party.</w:t>
      </w:r>
    </w:p>
    <w:p>
      <w:pPr>
        <w:pStyle w:val="BodyText"/>
        <w:widowControl/>
      </w:pPr>
      <w:r>
        <w:rPr>
          <w:rFonts w:ascii="Arial" w:hAnsi="Arial" w:eastAsia="Arial" w:cs="Arial"/>
          <w:b/>
          <w:bCs/>
          <w:sz w:val="20"/>
        </w:rPr>
        <w:t xml:space="preserve">Licensor</w:t>
      </w:r>
      <w:r>
        <w:rPr>
          <w:rFonts w:ascii="Arial" w:hAnsi="Arial" w:eastAsia="Arial" w:cs="Arial"/>
          <w:sz w:val="20"/>
        </w:rPr>
        <w:t xml:space="preserve"> </w:t>
      </w:r>
      <w:r>
        <w:rPr>
          <w:rFonts w:ascii="Arial" w:hAnsi="Arial" w:eastAsia="Arial" w:cs="Arial"/>
          <w:sz w:val="20"/>
        </w:rPr>
        <w:t xml:space="preserve">means London Reporting Academy Limited, company number 14632379, with registered office at 167-169 Great Portland Street, 5th Floor, London, Greater London, England, W1W 5PF, or a successor owner of the relevant rights notified on the official SRCF website.</w:t>
      </w:r>
    </w:p>
    <w:p>
      <w:pPr>
        <w:pStyle w:val="BodyText"/>
        <w:widowControl/>
      </w:pPr>
      <w:r>
        <w:rPr>
          <w:rFonts w:ascii="Arial" w:hAnsi="Arial" w:eastAsia="Arial" w:cs="Arial"/>
          <w:b/>
          <w:bCs/>
          <w:sz w:val="20"/>
        </w:rPr>
        <w:t xml:space="preserve">Marks</w:t>
      </w:r>
      <w:r>
        <w:rPr>
          <w:rFonts w:ascii="Arial" w:hAnsi="Arial" w:eastAsia="Arial" w:cs="Arial"/>
          <w:sz w:val="20"/>
        </w:rPr>
        <w:t xml:space="preserve"> </w:t>
      </w:r>
      <w:r>
        <w:rPr>
          <w:rFonts w:ascii="Arial" w:hAnsi="Arial" w:eastAsia="Arial" w:cs="Arial"/>
          <w:sz w:val="20"/>
        </w:rPr>
        <w:t xml:space="preserve">means the names and signs</w:t>
      </w:r>
      <w:r>
        <w:rPr>
          <w:rFonts w:ascii="Arial" w:hAnsi="Arial" w:eastAsia="Arial" w:cs="Arial"/>
          <w:sz w:val="20"/>
        </w:rPr>
        <w:t xml:space="preserve"> </w:t>
      </w:r>
      <w:r>
        <w:rPr>
          <w:rStyle w:val="VerbatimChar"/>
          <w:rFonts w:ascii="Arial" w:hAnsi="Arial" w:eastAsia="Arial" w:cs="Arial"/>
          <w:sz w:val="20"/>
        </w:rPr>
        <w:t xml:space="preserve">SRCF</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Sustainability Reporting Competency Framework</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London Reporting Academy</w:t>
      </w:r>
      <w:r>
        <w:rPr>
          <w:rFonts w:ascii="Arial" w:hAnsi="Arial" w:eastAsia="Arial" w:cs="Arial"/>
          <w:sz w:val="20"/>
        </w:rPr>
        <w:t xml:space="preserve">, the SRCF and LRA logos and devices, the combined</w:t>
      </w:r>
      <w:r>
        <w:rPr>
          <w:rFonts w:ascii="Arial" w:hAnsi="Arial" w:eastAsia="Arial" w:cs="Arial"/>
          <w:sz w:val="20"/>
        </w:rPr>
        <w:t xml:space="preserve"> </w:t>
      </w:r>
      <w:r>
        <w:rPr>
          <w:rStyle w:val="VerbatimChar"/>
          <w:rFonts w:ascii="Arial" w:hAnsi="Arial" w:eastAsia="Arial" w:cs="Arial"/>
          <w:sz w:val="20"/>
        </w:rPr>
        <w:t xml:space="preserve">LRA LONDON REPORTING ACADEMY</w:t>
      </w:r>
      <w:r>
        <w:rPr>
          <w:rFonts w:ascii="Arial" w:hAnsi="Arial" w:eastAsia="Arial" w:cs="Arial"/>
          <w:sz w:val="20"/>
        </w:rPr>
        <w:t xml:space="preserve"> </w:t>
      </w:r>
      <w:r>
        <w:rPr>
          <w:rFonts w:ascii="Arial" w:hAnsi="Arial" w:eastAsia="Arial" w:cs="Arial"/>
          <w:sz w:val="20"/>
        </w:rPr>
        <w:t xml:space="preserve">mark, official credential names, partner, alignment and technology marks, badges, seals, get-up and other brand assets designated by the Licensor.</w:t>
      </w:r>
    </w:p>
    <w:p>
      <w:pPr>
        <w:pStyle w:val="BodyText"/>
        <w:widowControl/>
      </w:pPr>
      <w:r>
        <w:rPr>
          <w:rFonts w:ascii="Arial" w:hAnsi="Arial" w:eastAsia="Arial" w:cs="Arial"/>
          <w:b/>
          <w:bCs/>
          <w:sz w:val="20"/>
        </w:rPr>
        <w:t xml:space="preserve">Materially Informed Artefact</w:t>
      </w:r>
      <w:r>
        <w:rPr>
          <w:rFonts w:ascii="Arial" w:hAnsi="Arial" w:eastAsia="Arial" w:cs="Arial"/>
          <w:sz w:val="20"/>
        </w:rPr>
        <w:t xml:space="preserve"> </w:t>
      </w:r>
      <w:r>
        <w:rPr>
          <w:rFonts w:ascii="Arial" w:hAnsi="Arial" w:eastAsia="Arial" w:cs="Arial"/>
          <w:sz w:val="20"/>
        </w:rPr>
        <w:t xml:space="preserve">means an artefact that, in exercising a permission under this Licence, copies, extracts, adapts or materially follows protected SRCF expression, selection or arrangement, including substantive taxonomy, role definitions, competency requirements, proficiency levels or mappings. It does not include an artefact that merely mentions SRCF or independently applies general ideas, facts, skills or professional knowledge.</w:t>
      </w:r>
    </w:p>
    <w:p>
      <w:pPr>
        <w:pStyle w:val="BodyText"/>
        <w:widowControl/>
      </w:pPr>
      <w:r>
        <w:rPr>
          <w:rFonts w:ascii="Arial" w:hAnsi="Arial" w:eastAsia="Arial" w:cs="Arial"/>
          <w:b/>
          <w:bCs/>
          <w:sz w:val="20"/>
        </w:rPr>
        <w:t xml:space="preserve">Official SRCF Programme</w:t>
      </w:r>
      <w:r>
        <w:rPr>
          <w:rFonts w:ascii="Arial" w:hAnsi="Arial" w:eastAsia="Arial" w:cs="Arial"/>
          <w:sz w:val="20"/>
        </w:rPr>
        <w:t xml:space="preserve"> </w:t>
      </w:r>
      <w:r>
        <w:rPr>
          <w:rFonts w:ascii="Arial" w:hAnsi="Arial" w:eastAsia="Arial" w:cs="Arial"/>
          <w:sz w:val="20"/>
        </w:rPr>
        <w:t xml:space="preserve">means a course, programme, pathway or educational product that uses SRCF in its title or official marketing, uses official courseware or Marks, claims an Official Status, registers learners through an official SRCF pathway, or is otherwise authorised as an official or licensed SRCF offering.</w:t>
      </w:r>
    </w:p>
    <w:p>
      <w:pPr>
        <w:pStyle w:val="BodyText"/>
        <w:widowControl/>
      </w:pPr>
      <w:r>
        <w:rPr>
          <w:rFonts w:ascii="Arial" w:hAnsi="Arial" w:eastAsia="Arial" w:cs="Arial"/>
          <w:b/>
          <w:bCs/>
          <w:sz w:val="20"/>
        </w:rPr>
        <w:t xml:space="preserve">Official Status</w:t>
      </w:r>
      <w:r>
        <w:rPr>
          <w:rFonts w:ascii="Arial" w:hAnsi="Arial" w:eastAsia="Arial" w:cs="Arial"/>
          <w:sz w:val="20"/>
        </w:rPr>
        <w:t xml:space="preserve"> </w:t>
      </w:r>
      <w:r>
        <w:rPr>
          <w:rFonts w:ascii="Arial" w:hAnsi="Arial" w:eastAsia="Arial" w:cs="Arial"/>
          <w:sz w:val="20"/>
        </w:rPr>
        <w:t xml:space="preserve">means any status granted in writing by the Licensor under a published scheme, including Curriculum Aligned to SRCF, SRCF Academic Partner, SRCF Licensed Learning Partner, SRCF Authorised Trainer, SRCF Licensed Integration or SRCF Verified Technology.</w:t>
      </w:r>
    </w:p>
    <w:p>
      <w:pPr>
        <w:pStyle w:val="BodyText"/>
        <w:widowControl/>
      </w:pPr>
      <w:r>
        <w:rPr>
          <w:rFonts w:ascii="Arial" w:hAnsi="Arial" w:eastAsia="Arial" w:cs="Arial"/>
          <w:b/>
          <w:bCs/>
          <w:sz w:val="20"/>
        </w:rPr>
        <w:t xml:space="preserve">Personnel</w:t>
      </w:r>
      <w:r>
        <w:rPr>
          <w:rFonts w:ascii="Arial" w:hAnsi="Arial" w:eastAsia="Arial" w:cs="Arial"/>
          <w:sz w:val="20"/>
        </w:rPr>
        <w:t xml:space="preserve"> </w:t>
      </w:r>
      <w:r>
        <w:rPr>
          <w:rFonts w:ascii="Arial" w:hAnsi="Arial" w:eastAsia="Arial" w:cs="Arial"/>
          <w:sz w:val="20"/>
        </w:rPr>
        <w:t xml:space="preserve">means your directors, officers, employees, workers and individual contractors acting under your direction and confidentiality obligations solely for your permitted purposes. A third-party provider does not become Personnel merely because you engage it to provide an SRCF-related service.</w:t>
      </w:r>
    </w:p>
    <w:p>
      <w:pPr>
        <w:pStyle w:val="BodyText"/>
        <w:widowControl/>
      </w:pPr>
      <w:r>
        <w:rPr>
          <w:rFonts w:ascii="Arial" w:hAnsi="Arial" w:eastAsia="Arial" w:cs="Arial"/>
          <w:b/>
          <w:bCs/>
          <w:sz w:val="20"/>
        </w:rPr>
        <w:t xml:space="preserve">Release</w:t>
      </w:r>
      <w:r>
        <w:rPr>
          <w:rFonts w:ascii="Arial" w:hAnsi="Arial" w:eastAsia="Arial" w:cs="Arial"/>
          <w:sz w:val="20"/>
        </w:rPr>
        <w:t xml:space="preserve"> </w:t>
      </w:r>
      <w:r>
        <w:rPr>
          <w:rFonts w:ascii="Arial" w:hAnsi="Arial" w:eastAsia="Arial" w:cs="Arial"/>
          <w:sz w:val="20"/>
        </w:rPr>
        <w:t xml:space="preserve">means the identified official version of the Framework Materials to which this Licence is attached or for which the official SRCF website states that this Licence applies.</w:t>
      </w:r>
    </w:p>
    <w:p>
      <w:pPr>
        <w:pStyle w:val="BodyText"/>
        <w:widowControl/>
      </w:pPr>
      <w:r>
        <w:rPr>
          <w:rFonts w:ascii="Arial" w:hAnsi="Arial" w:eastAsia="Arial" w:cs="Arial"/>
          <w:b/>
          <w:bCs/>
          <w:sz w:val="20"/>
        </w:rPr>
        <w:t xml:space="preserve">Stable Identifiers</w:t>
      </w:r>
      <w:r>
        <w:rPr>
          <w:rFonts w:ascii="Arial" w:hAnsi="Arial" w:eastAsia="Arial" w:cs="Arial"/>
          <w:sz w:val="20"/>
        </w:rPr>
        <w:t xml:space="preserve"> </w:t>
      </w:r>
      <w:r>
        <w:rPr>
          <w:rFonts w:ascii="Arial" w:hAnsi="Arial" w:eastAsia="Arial" w:cs="Arial"/>
          <w:sz w:val="20"/>
        </w:rPr>
        <w:t xml:space="preserve">means the official identifiers assigned within a Release.</w:t>
      </w:r>
    </w:p>
    <w:p>
      <w:pPr>
        <w:pStyle w:val="BodyText"/>
        <w:widowControl/>
      </w:pPr>
      <w:r>
        <w:rPr>
          <w:rFonts w:ascii="Arial" w:hAnsi="Arial" w:eastAsia="Arial" w:cs="Arial"/>
          <w:b/>
          <w:bCs/>
          <w:sz w:val="20"/>
        </w:rPr>
        <w:t xml:space="preserve">you</w:t>
      </w:r>
      <w:r>
        <w:rPr>
          <w:rFonts w:ascii="Arial" w:hAnsi="Arial" w:eastAsia="Arial" w:cs="Arial"/>
          <w:sz w:val="20"/>
        </w:rPr>
        <w:t xml:space="preserve"> </w:t>
      </w:r>
      <w:r>
        <w:rPr>
          <w:rFonts w:ascii="Arial" w:hAnsi="Arial" w:eastAsia="Arial" w:cs="Arial"/>
          <w:sz w:val="20"/>
        </w:rPr>
        <w:t xml:space="preserve">means the individual or legal entity exercising permissions under this Licence.</w:t>
      </w:r>
    </w:p>
    <w:bookmarkEnd w:id="22"/>
    <w:bookmarkStart w:id="23" w:name="X3cc86d3286905a95e33844e29e06571bd855d62"/>
    <w:p>
      <w:pPr>
        <w:pStyle w:val="Heading1"/>
        <w:widowControl/>
      </w:pPr>
      <w:r>
        <w:rPr>
          <w:rFonts w:ascii="Arial" w:hAnsi="Arial" w:eastAsia="Arial" w:cs="Arial"/>
        </w:rPr>
        <w:t xml:space="preserve">3. Ownership, governance and reservation of rights</w:t>
      </w:r>
    </w:p>
    <w:p>
      <w:pPr>
        <w:pStyle w:val="FirstParagraph"/>
        <w:widowControl/>
      </w:pPr>
      <w:r>
        <w:rPr>
          <w:rFonts w:ascii="Arial" w:hAnsi="Arial" w:eastAsia="Arial" w:cs="Arial"/>
          <w:sz w:val="20"/>
        </w:rPr>
        <w:t xml:space="preserve">3.1 The Licensor owns or controls the intellectual property rights necessary to grant the permissions in this Licence. Those rights may include copyright, database rights, rights in selection and arrangement, trade mark rights and rights in design and presentation.</w:t>
      </w:r>
    </w:p>
    <w:p>
      <w:pPr>
        <w:pStyle w:val="BodyText"/>
        <w:widowControl/>
      </w:pPr>
      <w:r>
        <w:rPr>
          <w:rFonts w:ascii="Arial" w:hAnsi="Arial" w:eastAsia="Arial" w:cs="Arial"/>
          <w:sz w:val="20"/>
        </w:rPr>
        <w:t xml:space="preserve">3.2 This Licence grants permissions, not ownership. All rights not expressly granted are reserved.</w:t>
      </w:r>
    </w:p>
    <w:p>
      <w:pPr>
        <w:pStyle w:val="BodyText"/>
        <w:widowControl/>
      </w:pPr>
      <w:r>
        <w:rPr>
          <w:rFonts w:ascii="Arial" w:hAnsi="Arial" w:eastAsia="Arial" w:cs="Arial"/>
          <w:sz w:val="20"/>
        </w:rPr>
        <w:t xml:space="preserve">3.3 Nothing in this Licence grants rights in third-party material. Where a Release identifies third-party material, you are responsible for any additional permission required from its owner.</w:t>
      </w:r>
    </w:p>
    <w:p>
      <w:pPr>
        <w:pStyle w:val="BodyText"/>
        <w:widowControl/>
      </w:pPr>
      <w:r>
        <w:rPr>
          <w:rFonts w:ascii="Arial" w:hAnsi="Arial" w:eastAsia="Arial" w:cs="Arial"/>
          <w:sz w:val="20"/>
        </w:rPr>
        <w:t xml:space="preserve">3.4 SRCF technical governance is exercised through the Council under the SRCF Governance and Due Process Charter. The Licensor remains the legal owner or controller, publisher, licensor, contracting party, trade mark proprietor and formal issuer of each Release.</w:t>
      </w:r>
    </w:p>
    <w:p>
      <w:pPr>
        <w:pStyle w:val="BodyText"/>
        <w:widowControl/>
      </w:pPr>
      <w:r>
        <w:rPr>
          <w:rFonts w:ascii="Arial" w:hAnsi="Arial" w:eastAsia="Arial" w:cs="Arial"/>
          <w:sz w:val="20"/>
        </w:rPr>
        <w:t xml:space="preserve">3.5 No Council or Assessment and Credentials Board member, reviewer, adviser, working-group participant or contributor acquires ownership or authority to bind the Licensor merely by participation.</w:t>
      </w:r>
    </w:p>
    <w:p>
      <w:pPr>
        <w:pStyle w:val="BodyText"/>
        <w:widowControl/>
      </w:pPr>
      <w:r>
        <w:rPr>
          <w:rFonts w:ascii="Arial" w:hAnsi="Arial" w:eastAsia="Arial" w:cs="Arial"/>
          <w:sz w:val="20"/>
        </w:rPr>
        <w:t xml:space="preserve">3.6 The LRA-SRCF Ecosystem Founding Package and any Working Draft, Review Draft or Exposure Draft are not an official Release unless the relevant material is expressly designated and published as such. This Licence applies only where clause 1.1 and the Release notice say that it applies.</w:t>
      </w:r>
    </w:p>
    <w:bookmarkEnd w:id="23"/>
    <w:bookmarkStart w:id="24" w:name="free-permissions"/>
    <w:p>
      <w:pPr>
        <w:pStyle w:val="Heading1"/>
        <w:widowControl/>
      </w:pPr>
      <w:r>
        <w:rPr>
          <w:rFonts w:ascii="Arial" w:hAnsi="Arial" w:eastAsia="Arial" w:cs="Arial"/>
        </w:rPr>
        <w:t xml:space="preserve">4. Free permissions</w:t>
      </w:r>
    </w:p>
    <w:p>
      <w:pPr>
        <w:pStyle w:val="FirstParagraph"/>
        <w:widowControl/>
      </w:pPr>
      <w:r>
        <w:rPr>
          <w:rFonts w:ascii="Arial" w:hAnsi="Arial" w:eastAsia="Arial" w:cs="Arial"/>
          <w:sz w:val="20"/>
        </w:rPr>
        <w:t xml:space="preserve">4.1 Subject to your compliance with this Licence, the Licensor grants you a worldwide, royalty-free, non-exclusive, non-transferable and non-sublicensable licence, to the extent that it owns or controls the applicable rights in the relevant territory, to:</w:t>
      </w:r>
    </w:p>
    <w:p>
      <w:pPr>
        <w:widowControl/>
        <w:numPr>
          <w:ilvl w:val="0"/>
          <w:numId w:val="1001"/>
        </w:numPr>
      </w:pPr>
      <w:r>
        <w:rPr>
          <w:rFonts w:ascii="Arial" w:hAnsi="Arial" w:eastAsia="Arial" w:cs="Arial"/>
          <w:sz w:val="20"/>
        </w:rPr>
        <w:t xml:space="preserve">access, read, download, store and print the Framework Materials as published;</w:t>
      </w:r>
    </w:p>
    <w:p>
      <w:pPr>
        <w:widowControl/>
        <w:numPr>
          <w:ilvl w:val="0"/>
          <w:numId w:val="1001"/>
        </w:numPr>
      </w:pPr>
      <w:r>
        <w:rPr>
          <w:rFonts w:ascii="Arial" w:hAnsi="Arial" w:eastAsia="Arial" w:cs="Arial"/>
          <w:sz w:val="20"/>
        </w:rPr>
        <w:t xml:space="preserve">share an unmodified official copy or link to the canonical Release, provided that all embedded notices remain intact and you do not charge for the Framework Materials themselves;</w:t>
      </w:r>
    </w:p>
    <w:p>
      <w:pPr>
        <w:widowControl/>
        <w:numPr>
          <w:ilvl w:val="0"/>
          <w:numId w:val="1001"/>
        </w:numPr>
      </w:pPr>
      <w:r>
        <w:rPr>
          <w:rFonts w:ascii="Arial" w:hAnsi="Arial" w:eastAsia="Arial" w:cs="Arial"/>
          <w:sz w:val="20"/>
        </w:rPr>
        <w:t xml:space="preserve">use and reproduce the Framework Materials for personal use and Internal Use, including internal role descriptions, capability reviews, workforce plans, internal policies, internal self-assessment and internal training materials;</w:t>
      </w:r>
    </w:p>
    <w:p>
      <w:pPr>
        <w:widowControl/>
        <w:numPr>
          <w:ilvl w:val="0"/>
          <w:numId w:val="1001"/>
        </w:numPr>
      </w:pPr>
      <w:r>
        <w:rPr>
          <w:rFonts w:ascii="Arial" w:hAnsi="Arial" w:eastAsia="Arial" w:cs="Arial"/>
          <w:sz w:val="20"/>
        </w:rPr>
        <w:t xml:space="preserve">make internal adaptations and unofficial internal translations for Internal Use, clearly distinguished from official Framework Materials and subject to clause 7;</w:t>
      </w:r>
    </w:p>
    <w:p>
      <w:pPr>
        <w:widowControl/>
        <w:numPr>
          <w:ilvl w:val="0"/>
          <w:numId w:val="1001"/>
        </w:numPr>
      </w:pPr>
      <w:r>
        <w:rPr>
          <w:rFonts w:ascii="Arial" w:hAnsi="Arial" w:eastAsia="Arial" w:cs="Arial"/>
          <w:sz w:val="20"/>
        </w:rPr>
        <w:t xml:space="preserve">quote and reproduce limited extracts in documents, presentations, reports, research, teaching materials, commentary and other artefacts, including in a commercial context, where the extract is reasonable, incidental, not a substantial part, not a substitute for the official Release and complies with clause 7;</w:t>
      </w:r>
    </w:p>
    <w:p>
      <w:pPr>
        <w:widowControl/>
        <w:numPr>
          <w:ilvl w:val="0"/>
          <w:numId w:val="1001"/>
        </w:numPr>
      </w:pPr>
      <w:r>
        <w:rPr>
          <w:rFonts w:ascii="Arial" w:hAnsi="Arial" w:eastAsia="Arial" w:cs="Arial"/>
          <w:sz w:val="20"/>
        </w:rPr>
        <w:t xml:space="preserve">make Academic Reference Use, including in a fee-charging university, college or professional programme, and prepare or publish an Independent Mapping, provided that:</w:t>
      </w:r>
    </w:p>
    <w:p>
      <w:pPr>
        <w:widowControl/>
        <w:numPr>
          <w:ilvl w:val="0"/>
          <w:numId w:val="1001"/>
        </w:numPr>
      </w:pPr>
      <w:r>
        <w:rPr>
          <w:rFonts w:ascii="Arial" w:hAnsi="Arial" w:eastAsia="Arial" w:cs="Arial"/>
          <w:sz w:val="20"/>
        </w:rPr>
        <w:t xml:space="preserve">you do not reproduce a substantial part of the Framework Materials;</w:t>
      </w:r>
    </w:p>
    <w:p>
      <w:pPr>
        <w:widowControl/>
        <w:numPr>
          <w:ilvl w:val="0"/>
          <w:numId w:val="1002"/>
        </w:numPr>
      </w:pPr>
      <w:r>
        <w:rPr>
          <w:rFonts w:ascii="Arial" w:hAnsi="Arial" w:eastAsia="Arial" w:cs="Arial"/>
          <w:sz w:val="20"/>
        </w:rPr>
        <w:t xml:space="preserve">you do not use official courseware, logos, badges or other controlled Marks;</w:t>
      </w:r>
    </w:p>
    <w:p>
      <w:pPr>
        <w:widowControl/>
        <w:numPr>
          <w:ilvl w:val="0"/>
          <w:numId w:val="1002"/>
        </w:numPr>
      </w:pPr>
      <w:r>
        <w:rPr>
          <w:rFonts w:ascii="Arial" w:hAnsi="Arial" w:eastAsia="Arial" w:cs="Arial"/>
          <w:sz w:val="20"/>
        </w:rPr>
        <w:t xml:space="preserve">you do not call the programme or mapping</w:t>
      </w:r>
      <w:r>
        <w:rPr>
          <w:rFonts w:ascii="Arial" w:hAnsi="Arial" w:eastAsia="Arial" w:cs="Arial"/>
          <w:sz w:val="20"/>
        </w:rPr>
        <w:t xml:space="preserve"> </w:t>
      </w:r>
      <w:r>
        <w:rPr>
          <w:rStyle w:val="VerbatimChar"/>
          <w:rFonts w:ascii="Arial" w:hAnsi="Arial" w:eastAsia="Arial" w:cs="Arial"/>
          <w:sz w:val="20"/>
        </w:rPr>
        <w:t xml:space="preserve">SRCF-aligned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approved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accredited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licensed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certified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endorsed</w:t>
      </w:r>
      <w:r>
        <w:rPr>
          <w:rFonts w:ascii="Arial" w:hAnsi="Arial" w:eastAsia="Arial" w:cs="Arial"/>
          <w:sz w:val="20"/>
        </w:rPr>
        <w:t xml:space="preserve"> </w:t>
      </w:r>
      <w:r>
        <w:rPr>
          <w:rFonts w:ascii="Arial" w:hAnsi="Arial" w:eastAsia="Arial" w:cs="Arial"/>
          <w:sz w:val="20"/>
        </w:rPr>
        <w:t xml:space="preserve">or an Official SRCF Programme;</w:t>
      </w:r>
    </w:p>
    <w:p>
      <w:pPr>
        <w:widowControl/>
        <w:numPr>
          <w:ilvl w:val="0"/>
          <w:numId w:val="1002"/>
        </w:numPr>
      </w:pPr>
      <w:r>
        <w:rPr>
          <w:rFonts w:ascii="Arial" w:hAnsi="Arial" w:eastAsia="Arial" w:cs="Arial"/>
          <w:sz w:val="20"/>
        </w:rPr>
        <w:t xml:space="preserve">you use the independent-mapping notice in clause 7.3 where a mapping is published or used in programme marketing; and</w:t>
      </w:r>
    </w:p>
    <w:p>
      <w:pPr>
        <w:widowControl/>
        <w:numPr>
          <w:ilvl w:val="0"/>
          <w:numId w:val="1002"/>
        </w:numPr>
      </w:pPr>
      <w:r>
        <w:rPr>
          <w:rFonts w:ascii="Arial" w:hAnsi="Arial" w:eastAsia="Arial" w:cs="Arial"/>
          <w:sz w:val="20"/>
        </w:rPr>
        <w:t xml:space="preserve">you do not register learners for an official assessment or credential pathway unless separately authorised;</w:t>
      </w:r>
    </w:p>
    <w:p>
      <w:pPr>
        <w:widowControl/>
        <w:numPr>
          <w:ilvl w:val="0"/>
          <w:numId w:val="1003"/>
        </w:numPr>
      </w:pPr>
      <w:r>
        <w:rPr>
          <w:rFonts w:ascii="Arial" w:hAnsi="Arial" w:eastAsia="Arial" w:cs="Arial"/>
          <w:sz w:val="20"/>
        </w:rPr>
        <w:t xml:space="preserve">analyse and map roles, curricula, qualifications, capability models or other subject matter against the Framework Materials and publish the results, subject to clause 4.1(f) and clause 7;</w:t>
      </w:r>
    </w:p>
    <w:p>
      <w:pPr>
        <w:widowControl/>
        <w:numPr>
          <w:ilvl w:val="0"/>
          <w:numId w:val="1003"/>
        </w:numPr>
      </w:pPr>
      <w:r>
        <w:rPr>
          <w:rFonts w:ascii="Arial" w:hAnsi="Arial" w:eastAsia="Arial" w:cs="Arial"/>
          <w:sz w:val="20"/>
        </w:rPr>
        <w:t xml:space="preserve">create and share a Materially Informed Artefact, including a public job advertisement or role description, provided that it does not reproduce a substantial part, is not a prohibited External Offering and complies with clause 7;</w:t>
      </w:r>
    </w:p>
    <w:p>
      <w:pPr>
        <w:widowControl/>
        <w:numPr>
          <w:ilvl w:val="0"/>
          <w:numId w:val="1003"/>
        </w:numPr>
      </w:pPr>
      <w:r>
        <w:rPr>
          <w:rFonts w:ascii="Arial" w:hAnsi="Arial" w:eastAsia="Arial" w:cs="Arial"/>
          <w:sz w:val="20"/>
        </w:rPr>
        <w:t xml:space="preserve">cite Stable Identifiers in factual citation, mapping or commentary; and</w:t>
      </w:r>
    </w:p>
    <w:p>
      <w:pPr>
        <w:widowControl/>
        <w:numPr>
          <w:ilvl w:val="0"/>
          <w:numId w:val="1003"/>
        </w:numPr>
      </w:pPr>
      <w:r>
        <w:rPr>
          <w:rFonts w:ascii="Arial" w:hAnsi="Arial" w:eastAsia="Arial" w:cs="Arial"/>
          <w:sz w:val="20"/>
        </w:rPr>
        <w:t xml:space="preserve">make the limited professional-adviser use permitted by clause 5.</w:t>
      </w:r>
    </w:p>
    <w:p>
      <w:pPr>
        <w:pStyle w:val="FirstParagraph"/>
        <w:widowControl/>
      </w:pPr>
      <w:r>
        <w:rPr>
          <w:rFonts w:ascii="Arial" w:hAnsi="Arial" w:eastAsia="Arial" w:cs="Arial"/>
          <w:sz w:val="20"/>
        </w:rPr>
        <w:t xml:space="preserve">4.2 You may allow Affiliates and Personnel to exercise clause 4.1 permissions solely on your behalf and for your permitted purposes. You remain responsible for their compliance.</w:t>
      </w:r>
    </w:p>
    <w:p>
      <w:pPr>
        <w:pStyle w:val="BodyText"/>
        <w:widowControl/>
      </w:pPr>
      <w:r>
        <w:rPr>
          <w:rFonts w:ascii="Arial" w:hAnsi="Arial" w:eastAsia="Arial" w:cs="Arial"/>
          <w:sz w:val="20"/>
        </w:rPr>
        <w:t xml:space="preserve">4.3 Internal Use may include storage in a non-public internal document-management, learning or human-resources system used only by your Personnel and Affiliates. This does not authorise the system provider to incorporate, reuse, train on, commercialise or expose the Framework Materials to other customers.</w:t>
      </w:r>
    </w:p>
    <w:p>
      <w:pPr>
        <w:pStyle w:val="BodyText"/>
        <w:widowControl/>
      </w:pPr>
      <w:r>
        <w:rPr>
          <w:rFonts w:ascii="Arial" w:hAnsi="Arial" w:eastAsia="Arial" w:cs="Arial"/>
          <w:sz w:val="20"/>
        </w:rPr>
        <w:t xml:space="preserve">4.4 Charging tuition, receiving consultancy fees, operating for profit or being a commercial organisation does not by itself remove a free permission. A separate licence is required only where the activity falls within clause 6 or another restriction.</w:t>
      </w:r>
    </w:p>
    <w:bookmarkEnd w:id="24"/>
    <w:bookmarkStart w:id="25" w:name="limited-use-by-professional-advisers"/>
    <w:p>
      <w:pPr>
        <w:pStyle w:val="Heading1"/>
        <w:widowControl/>
      </w:pPr>
      <w:r>
        <w:rPr>
          <w:rFonts w:ascii="Arial" w:hAnsi="Arial" w:eastAsia="Arial" w:cs="Arial"/>
        </w:rPr>
        <w:t xml:space="preserve">5. Limited use by professional advisers</w:t>
      </w:r>
    </w:p>
    <w:p>
      <w:pPr>
        <w:pStyle w:val="FirstParagraph"/>
        <w:widowControl/>
      </w:pPr>
      <w:r>
        <w:rPr>
          <w:rFonts w:ascii="Arial" w:hAnsi="Arial" w:eastAsia="Arial" w:cs="Arial"/>
          <w:sz w:val="20"/>
        </w:rPr>
        <w:t xml:space="preserve">5.1 A professional adviser or consultant may use limited extracts and factual reference in a Bespoke Client Deliverable where:</w:t>
      </w:r>
    </w:p>
    <w:p>
      <w:pPr>
        <w:widowControl/>
        <w:numPr>
          <w:ilvl w:val="0"/>
          <w:numId w:val="1004"/>
        </w:numPr>
      </w:pPr>
      <w:r>
        <w:rPr>
          <w:rFonts w:ascii="Arial" w:hAnsi="Arial" w:eastAsia="Arial" w:cs="Arial"/>
          <w:sz w:val="20"/>
        </w:rPr>
        <w:t xml:space="preserve">the deliverable is prepared specifically for the client and is not marketed as an SRCF-based or SRCF-aligned product or service;</w:t>
      </w:r>
    </w:p>
    <w:p>
      <w:pPr>
        <w:widowControl/>
        <w:numPr>
          <w:ilvl w:val="0"/>
          <w:numId w:val="1004"/>
        </w:numPr>
      </w:pPr>
      <w:r>
        <w:rPr>
          <w:rFonts w:ascii="Arial" w:hAnsi="Arial" w:eastAsia="Arial" w:cs="Arial"/>
          <w:sz w:val="20"/>
        </w:rPr>
        <w:t xml:space="preserve">it does not reproduce the Framework Materials, or a substantial part, as the deliverable or substitute source;</w:t>
      </w:r>
    </w:p>
    <w:p>
      <w:pPr>
        <w:widowControl/>
        <w:numPr>
          <w:ilvl w:val="0"/>
          <w:numId w:val="1004"/>
        </w:numPr>
      </w:pPr>
      <w:r>
        <w:rPr>
          <w:rFonts w:ascii="Arial" w:hAnsi="Arial" w:eastAsia="Arial" w:cs="Arial"/>
          <w:sz w:val="20"/>
        </w:rPr>
        <w:t xml:space="preserve">it carries any attribution and reference statement required by clause 7;</w:t>
      </w:r>
    </w:p>
    <w:p>
      <w:pPr>
        <w:widowControl/>
        <w:numPr>
          <w:ilvl w:val="0"/>
          <w:numId w:val="1004"/>
        </w:numPr>
      </w:pPr>
      <w:r>
        <w:rPr>
          <w:rFonts w:ascii="Arial" w:hAnsi="Arial" w:eastAsia="Arial" w:cs="Arial"/>
          <w:sz w:val="20"/>
        </w:rPr>
        <w:t xml:space="preserve">any onward use of reproduced or adapted Framework Materials is stated to be subject to this Licence or another written licence from the Licensor; and</w:t>
      </w:r>
    </w:p>
    <w:p>
      <w:pPr>
        <w:widowControl/>
        <w:numPr>
          <w:ilvl w:val="0"/>
          <w:numId w:val="1004"/>
        </w:numPr>
      </w:pPr>
      <w:r>
        <w:rPr>
          <w:rFonts w:ascii="Arial" w:hAnsi="Arial" w:eastAsia="Arial" w:cs="Arial"/>
          <w:sz w:val="20"/>
        </w:rPr>
        <w:t xml:space="preserve">the permission is not used to supply training, assessment, testing, credentialing, software, data or another controlled External Offering.</w:t>
      </w:r>
    </w:p>
    <w:p>
      <w:pPr>
        <w:pStyle w:val="FirstParagraph"/>
        <w:widowControl/>
      </w:pPr>
      <w:r>
        <w:rPr>
          <w:rFonts w:ascii="Arial" w:hAnsi="Arial" w:eastAsia="Arial" w:cs="Arial"/>
          <w:sz w:val="20"/>
        </w:rPr>
        <w:t xml:space="preserve">5.2 Applying general professional knowledge in more than one engagement is not prohibited. The use becomes controlled where the SRCF-derived protected structure or content is standardised, packaged, marketed or materially reused as a branded diagnostic, methodology, toolkit, course, assessment, platform or repeatable service.</w:t>
      </w:r>
    </w:p>
    <w:p>
      <w:pPr>
        <w:pStyle w:val="BodyText"/>
        <w:widowControl/>
      </w:pPr>
      <w:r>
        <w:rPr>
          <w:rFonts w:ascii="Arial" w:hAnsi="Arial" w:eastAsia="Arial" w:cs="Arial"/>
          <w:sz w:val="20"/>
        </w:rPr>
        <w:t xml:space="preserve">5.3 A provider engaged to deliver an Official SRCF Programme, official alignment, assessment or other controlled SRCF service to a client requires the applicable separate written licence even if the service is delivered only to that client’s Personnel.</w:t>
      </w:r>
    </w:p>
    <w:bookmarkEnd w:id="25"/>
    <w:bookmarkStart w:id="26" w:name="Xe3e5c4e5ee6e478d3a53d3ea3d01de5d724a6b3"/>
    <w:p>
      <w:pPr>
        <w:pStyle w:val="Heading1"/>
        <w:widowControl/>
      </w:pPr>
      <w:r>
        <w:rPr>
          <w:rFonts w:ascii="Arial" w:hAnsi="Arial" w:eastAsia="Arial" w:cs="Arial"/>
        </w:rPr>
        <w:t xml:space="preserve">6. Uses requiring a separate written licence</w:t>
      </w:r>
    </w:p>
    <w:p>
      <w:pPr>
        <w:pStyle w:val="FirstParagraph"/>
        <w:widowControl/>
      </w:pPr>
      <w:r>
        <w:rPr>
          <w:rFonts w:ascii="Arial" w:hAnsi="Arial" w:eastAsia="Arial" w:cs="Arial"/>
          <w:sz w:val="20"/>
        </w:rPr>
        <w:t xml:space="preserve">6.1 No permission is granted under this Licence for any of the following:</w:t>
      </w:r>
    </w:p>
    <w:p>
      <w:pPr>
        <w:widowControl/>
        <w:numPr>
          <w:ilvl w:val="0"/>
          <w:numId w:val="1005"/>
        </w:numPr>
      </w:pPr>
      <w:r>
        <w:rPr>
          <w:rFonts w:ascii="Arial" w:hAnsi="Arial" w:eastAsia="Arial" w:cs="Arial"/>
          <w:sz w:val="20"/>
        </w:rPr>
        <w:t xml:space="preserve">designing, marketing or delivering an Official SRCF Programme;</w:t>
      </w:r>
    </w:p>
    <w:p>
      <w:pPr>
        <w:widowControl/>
        <w:numPr>
          <w:ilvl w:val="0"/>
          <w:numId w:val="1005"/>
        </w:numPr>
      </w:pPr>
      <w:r>
        <w:rPr>
          <w:rFonts w:ascii="Arial" w:hAnsi="Arial" w:eastAsia="Arial" w:cs="Arial"/>
          <w:sz w:val="20"/>
        </w:rPr>
        <w:t xml:space="preserve">using SRCF in the title or branding of a course, programme, qualification, educational product or continuing professional development offering, except for accurate ordinary teaching references permitted by clause 4;</w:t>
      </w:r>
    </w:p>
    <w:p>
      <w:pPr>
        <w:widowControl/>
        <w:numPr>
          <w:ilvl w:val="0"/>
          <w:numId w:val="1005"/>
        </w:numPr>
      </w:pPr>
      <w:r>
        <w:rPr>
          <w:rFonts w:ascii="Arial" w:hAnsi="Arial" w:eastAsia="Arial" w:cs="Arial"/>
          <w:sz w:val="20"/>
        </w:rPr>
        <w:t xml:space="preserve">representing a programme, curriculum or institution as officially aligned, approved, accredited, licensed, endorsed or partnered with SRCF or LRA;</w:t>
      </w:r>
    </w:p>
    <w:p>
      <w:pPr>
        <w:widowControl/>
        <w:numPr>
          <w:ilvl w:val="0"/>
          <w:numId w:val="1005"/>
        </w:numPr>
      </w:pPr>
      <w:r>
        <w:rPr>
          <w:rFonts w:ascii="Arial" w:hAnsi="Arial" w:eastAsia="Arial" w:cs="Arial"/>
          <w:sz w:val="20"/>
        </w:rPr>
        <w:t xml:space="preserve">using official courseware, substantial SRCF reproduction, official learner registration, platform-generated completion certificates or an official assessment pathway;</w:t>
      </w:r>
    </w:p>
    <w:p>
      <w:pPr>
        <w:widowControl/>
        <w:numPr>
          <w:ilvl w:val="0"/>
          <w:numId w:val="1005"/>
        </w:numPr>
      </w:pPr>
      <w:r>
        <w:rPr>
          <w:rFonts w:ascii="Arial" w:hAnsi="Arial" w:eastAsia="Arial" w:cs="Arial"/>
          <w:sz w:val="20"/>
        </w:rPr>
        <w:t xml:space="preserve">designing, offering or operating assessment, testing, benchmarking, recruitment, psychometric, credentialing or certification products or services for third parties based on the Framework Materials;</w:t>
      </w:r>
    </w:p>
    <w:p>
      <w:pPr>
        <w:widowControl/>
        <w:numPr>
          <w:ilvl w:val="0"/>
          <w:numId w:val="1005"/>
        </w:numPr>
      </w:pPr>
      <w:r>
        <w:rPr>
          <w:rFonts w:ascii="Arial" w:hAnsi="Arial" w:eastAsia="Arial" w:cs="Arial"/>
          <w:sz w:val="20"/>
        </w:rPr>
        <w:t xml:space="preserve">issuing an SRCF-named or confusingly similar credential, badge, certificate of competence, certification or professional status;</w:t>
      </w:r>
    </w:p>
    <w:p>
      <w:pPr>
        <w:widowControl/>
        <w:numPr>
          <w:ilvl w:val="0"/>
          <w:numId w:val="1005"/>
        </w:numPr>
      </w:pPr>
      <w:r>
        <w:rPr>
          <w:rFonts w:ascii="Arial" w:hAnsi="Arial" w:eastAsia="Arial" w:cs="Arial"/>
          <w:sz w:val="20"/>
        </w:rPr>
        <w:t xml:space="preserve">supplying a productised or standardised consultancy methodology, diagnostic, toolkit, template set or repeatable service built around protected Framework Materials;</w:t>
      </w:r>
    </w:p>
    <w:p>
      <w:pPr>
        <w:widowControl/>
        <w:numPr>
          <w:ilvl w:val="0"/>
          <w:numId w:val="1005"/>
        </w:numPr>
      </w:pPr>
      <w:r>
        <w:rPr>
          <w:rFonts w:ascii="Arial" w:hAnsi="Arial" w:eastAsia="Arial" w:cs="Arial"/>
          <w:sz w:val="20"/>
        </w:rPr>
        <w:t xml:space="preserve">reproducing, distributing, publishing or making available all or a substantial part of the Framework Materials in a product, service, publication, database, dataset, platform, application, API or other External Offering;</w:t>
      </w:r>
    </w:p>
    <w:p>
      <w:pPr>
        <w:widowControl/>
        <w:numPr>
          <w:ilvl w:val="0"/>
          <w:numId w:val="1005"/>
        </w:numPr>
      </w:pPr>
      <w:r>
        <w:rPr>
          <w:rFonts w:ascii="Arial" w:hAnsi="Arial" w:eastAsia="Arial" w:cs="Arial"/>
          <w:sz w:val="20"/>
        </w:rPr>
        <w:t xml:space="preserve">embedding or incorporating Framework Materials in software or systems made available to third parties, including HR, learning, assessment, search, AI or retrieval systems;</w:t>
      </w:r>
    </w:p>
    <w:p>
      <w:pPr>
        <w:widowControl/>
        <w:numPr>
          <w:ilvl w:val="0"/>
          <w:numId w:val="1005"/>
        </w:numPr>
      </w:pPr>
      <w:r>
        <w:rPr>
          <w:rFonts w:ascii="Arial" w:hAnsi="Arial" w:eastAsia="Arial" w:cs="Arial"/>
          <w:sz w:val="20"/>
        </w:rPr>
        <w:t xml:space="preserve">using Framework Materials to train, fine-tune, evaluate or improve a machine-learning or AI model, or to create embeddings, a retrieval corpus, synthetic dataset or data product for use by or supply to third parties;</w:t>
      </w:r>
    </w:p>
    <w:p>
      <w:pPr>
        <w:widowControl/>
        <w:numPr>
          <w:ilvl w:val="0"/>
          <w:numId w:val="1005"/>
        </w:numPr>
      </w:pPr>
      <w:r>
        <w:rPr>
          <w:rFonts w:ascii="Arial" w:hAnsi="Arial" w:eastAsia="Arial" w:cs="Arial"/>
          <w:sz w:val="20"/>
        </w:rPr>
        <w:t xml:space="preserve">publishing or supplying a translation, localisation, jurisdictional adaptation, derivative framework, sector overlay or other adaptation outside Internal Use;</w:t>
      </w:r>
    </w:p>
    <w:p>
      <w:pPr>
        <w:widowControl/>
        <w:numPr>
          <w:ilvl w:val="0"/>
          <w:numId w:val="1005"/>
        </w:numPr>
      </w:pPr>
      <w:r>
        <w:rPr>
          <w:rFonts w:ascii="Arial" w:hAnsi="Arial" w:eastAsia="Arial" w:cs="Arial"/>
          <w:sz w:val="20"/>
        </w:rPr>
        <w:t xml:space="preserve">redistributing machine-readable content, structured datasets, APIs, content exports, schemas or developer packs;</w:t>
      </w:r>
    </w:p>
    <w:p>
      <w:pPr>
        <w:widowControl/>
        <w:numPr>
          <w:ilvl w:val="0"/>
          <w:numId w:val="1005"/>
        </w:numPr>
      </w:pPr>
      <w:r>
        <w:rPr>
          <w:rFonts w:ascii="Arial" w:hAnsi="Arial" w:eastAsia="Arial" w:cs="Arial"/>
          <w:sz w:val="20"/>
        </w:rPr>
        <w:t xml:space="preserve">using a Mark in the name, branding, domain, social-media identifier or marketing of a product, service or organisation, or using a logo, device, badge, seal or status artwork; or</w:t>
      </w:r>
    </w:p>
    <w:p>
      <w:pPr>
        <w:widowControl/>
        <w:numPr>
          <w:ilvl w:val="0"/>
          <w:numId w:val="1005"/>
        </w:numPr>
      </w:pPr>
      <w:r>
        <w:rPr>
          <w:rFonts w:ascii="Arial" w:hAnsi="Arial" w:eastAsia="Arial" w:cs="Arial"/>
          <w:sz w:val="20"/>
        </w:rPr>
        <w:t xml:space="preserve">making a public marketing claim that a person, product, service, course, programme, assessment, software product or organisation is</w:t>
      </w:r>
      <w:r>
        <w:rPr>
          <w:rFonts w:ascii="Arial" w:hAnsi="Arial" w:eastAsia="Arial" w:cs="Arial"/>
          <w:sz w:val="20"/>
        </w:rPr>
        <w:t xml:space="preserve"> </w:t>
      </w:r>
      <w:r>
        <w:rPr>
          <w:rStyle w:val="VerbatimChar"/>
          <w:rFonts w:ascii="Arial" w:hAnsi="Arial" w:eastAsia="Arial" w:cs="Arial"/>
          <w:sz w:val="20"/>
        </w:rPr>
        <w:t xml:space="preserve">based on SRCF</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SRCF-based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aligned with SRCF</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SRCF-aligned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approved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certified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accredited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licensed</w:t>
      </w:r>
      <w:r>
        <w:rPr>
          <w:rFonts w:ascii="Arial" w:hAnsi="Arial" w:eastAsia="Arial" w:cs="Arial"/>
          <w:sz w:val="20"/>
        </w:rPr>
        <w:t xml:space="preserve">,</w:t>
      </w:r>
      <w:r>
        <w:rPr>
          <w:rFonts w:ascii="Arial" w:hAnsi="Arial" w:eastAsia="Arial" w:cs="Arial"/>
          <w:sz w:val="20"/>
        </w:rPr>
        <w:t xml:space="preserve"> </w:t>
      </w:r>
      <w:r>
        <w:rPr>
          <w:rStyle w:val="VerbatimChar"/>
          <w:rFonts w:ascii="Arial" w:hAnsi="Arial" w:eastAsia="Arial" w:cs="Arial"/>
          <w:sz w:val="20"/>
        </w:rPr>
        <w:t xml:space="preserve">endorsed</w:t>
      </w:r>
      <w:r>
        <w:rPr>
          <w:rFonts w:ascii="Arial" w:hAnsi="Arial" w:eastAsia="Arial" w:cs="Arial"/>
          <w:sz w:val="20"/>
        </w:rPr>
        <w:t xml:space="preserve"> </w:t>
      </w:r>
      <w:r>
        <w:rPr>
          <w:rFonts w:ascii="Arial" w:hAnsi="Arial" w:eastAsia="Arial" w:cs="Arial"/>
          <w:sz w:val="20"/>
        </w:rPr>
        <w:t xml:space="preserve">or</w:t>
      </w:r>
      <w:r>
        <w:rPr>
          <w:rFonts w:ascii="Arial" w:hAnsi="Arial" w:eastAsia="Arial" w:cs="Arial"/>
          <w:sz w:val="20"/>
        </w:rPr>
        <w:t xml:space="preserve"> </w:t>
      </w:r>
      <w:r>
        <w:rPr>
          <w:rStyle w:val="VerbatimChar"/>
          <w:rFonts w:ascii="Arial" w:hAnsi="Arial" w:eastAsia="Arial" w:cs="Arial"/>
          <w:sz w:val="20"/>
        </w:rPr>
        <w:t xml:space="preserve">verified</w:t>
      </w:r>
      <w:r>
        <w:rPr>
          <w:rFonts w:ascii="Arial" w:hAnsi="Arial" w:eastAsia="Arial" w:cs="Arial"/>
          <w:sz w:val="20"/>
        </w:rPr>
        <w:t xml:space="preserve">, except for a factual source statement expressly permitted by clause 7.</w:t>
      </w:r>
    </w:p>
    <w:p>
      <w:pPr>
        <w:pStyle w:val="FirstParagraph"/>
        <w:widowControl/>
      </w:pPr>
      <w:r>
        <w:rPr>
          <w:rFonts w:ascii="Arial" w:hAnsi="Arial" w:eastAsia="Arial" w:cs="Arial"/>
          <w:sz w:val="20"/>
        </w:rPr>
        <w:t xml:space="preserve">6.2 Clause 6.1 does not prevent an ordinary factual reference, limited quotation, Academic Reference Use, Independent Mapping, public job advertisement or Bespoke Client Deliverable expressly permitted by clauses 4 or 5.</w:t>
      </w:r>
    </w:p>
    <w:p>
      <w:pPr>
        <w:pStyle w:val="BodyText"/>
        <w:widowControl/>
      </w:pPr>
      <w:r>
        <w:rPr>
          <w:rFonts w:ascii="Arial" w:hAnsi="Arial" w:eastAsia="Arial" w:cs="Arial"/>
          <w:sz w:val="20"/>
        </w:rPr>
        <w:t xml:space="preserve">6.3 The Licensor is not obliged to grant a separate licence. Additional rights are effective only when recorded in a written agreement or status grant authorised by the Licensor.</w:t>
      </w:r>
    </w:p>
    <w:bookmarkEnd w:id="26"/>
    <w:bookmarkStart w:id="36" w:name="X4c7e1a272b5cfcb09c7e952463e2c230e0ac1f2"/>
    <w:p>
      <w:pPr>
        <w:pStyle w:val="Heading1"/>
        <w:widowControl/>
      </w:pPr>
      <w:r>
        <w:rPr>
          <w:rFonts w:ascii="Arial" w:hAnsi="Arial" w:eastAsia="Arial" w:cs="Arial"/>
        </w:rPr>
        <w:t xml:space="preserve">7. Conditions applying to every free permission</w:t>
      </w:r>
    </w:p>
    <w:bookmarkStart w:id="27" w:name="X5731047cbc7014d7275dae501ab45fe4715388e"/>
    <w:p>
      <w:pPr>
        <w:pStyle w:val="Heading2"/>
        <w:widowControl/>
      </w:pPr>
      <w:r>
        <w:rPr>
          <w:rFonts w:ascii="Arial" w:hAnsi="Arial" w:eastAsia="Arial" w:cs="Arial"/>
        </w:rPr>
        <w:t xml:space="preserve">7.1 Attribution for quotation and reproduction</w:t>
      </w:r>
    </w:p>
    <w:p>
      <w:pPr>
        <w:pStyle w:val="FirstParagraph"/>
        <w:widowControl/>
      </w:pPr>
      <w:r>
        <w:rPr>
          <w:rFonts w:ascii="Arial" w:hAnsi="Arial" w:eastAsia="Arial" w:cs="Arial"/>
          <w:sz w:val="20"/>
        </w:rPr>
        <w:t xml:space="preserve">Every public or client-facing quotation or reproduction must carry the following notice, adapted to the Release:</w:t>
      </w:r>
    </w:p>
    <w:p>
      <w:pPr>
        <w:pStyle w:val="BlockText"/>
        <w:widowControl/>
      </w:pPr>
      <w:r>
        <w:rPr>
          <w:rFonts w:ascii="Arial" w:hAnsi="Arial" w:eastAsia="Arial" w:cs="Arial"/>
          <w:b/>
          <w:bCs/>
          <w:sz w:val="20"/>
        </w:rPr>
        <w:t xml:space="preserve">Source: Sustainability Reporting Competency Framework (SRCF), version [version]. © London Reporting Academy Limited [year]. Used under the SRCF Public Reference and Adoption Licence.</w:t>
      </w:r>
    </w:p>
    <w:p>
      <w:pPr>
        <w:pStyle w:val="FirstParagraph"/>
        <w:widowControl/>
      </w:pPr>
      <w:r>
        <w:rPr>
          <w:rFonts w:ascii="Arial" w:hAnsi="Arial" w:eastAsia="Arial" w:cs="Arial"/>
          <w:sz w:val="20"/>
        </w:rPr>
        <w:t xml:space="preserve">The notice must be reasonably prominent. Digital materials should link to the canonical Release where practicable.</w:t>
      </w:r>
    </w:p>
    <w:bookmarkEnd w:id="27"/>
    <w:bookmarkStart w:id="28" w:name="X8a0ab41fe8d272b1e4a426b4c3af0b06e17ccdb"/>
    <w:p>
      <w:pPr>
        <w:pStyle w:val="Heading2"/>
        <w:widowControl/>
      </w:pPr>
      <w:r>
        <w:rPr>
          <w:rFonts w:ascii="Arial" w:hAnsi="Arial" w:eastAsia="Arial" w:cs="Arial"/>
        </w:rPr>
        <w:t xml:space="preserve">7.2 Reference statement for materially informed artefacts</w:t>
      </w:r>
    </w:p>
    <w:p>
      <w:pPr>
        <w:pStyle w:val="FirstParagraph"/>
        <w:widowControl/>
      </w:pPr>
      <w:r>
        <w:rPr>
          <w:rFonts w:ascii="Arial" w:hAnsi="Arial" w:eastAsia="Arial" w:cs="Arial"/>
          <w:sz w:val="20"/>
        </w:rPr>
        <w:t xml:space="preserve">Where a Materially Informed Artefact is shared beyond its individual author, it must carry:</w:t>
      </w:r>
    </w:p>
    <w:p>
      <w:pPr>
        <w:pStyle w:val="BlockText"/>
        <w:widowControl/>
      </w:pPr>
      <w:r>
        <w:rPr>
          <w:rFonts w:ascii="Arial" w:hAnsi="Arial" w:eastAsia="Arial" w:cs="Arial"/>
          <w:b/>
          <w:bCs/>
          <w:sz w:val="20"/>
        </w:rPr>
        <w:t xml:space="preserve">Developed with reference to the Sustainability Reporting Competency Framework (SRCF), version [version], a London Reporting Academy framework.</w:t>
      </w:r>
    </w:p>
    <w:p>
      <w:pPr>
        <w:pStyle w:val="FirstParagraph"/>
        <w:widowControl/>
      </w:pPr>
      <w:r>
        <w:rPr>
          <w:rFonts w:ascii="Arial" w:hAnsi="Arial" w:eastAsia="Arial" w:cs="Arial"/>
          <w:sz w:val="20"/>
        </w:rPr>
        <w:t xml:space="preserve">Where space is genuinely constrained:</w:t>
      </w:r>
    </w:p>
    <w:p>
      <w:pPr>
        <w:pStyle w:val="BlockText"/>
        <w:widowControl/>
      </w:pPr>
      <w:r>
        <w:rPr>
          <w:rFonts w:ascii="Arial" w:hAnsi="Arial" w:eastAsia="Arial" w:cs="Arial"/>
          <w:b/>
          <w:bCs/>
          <w:sz w:val="20"/>
        </w:rPr>
        <w:t xml:space="preserve">With reference to SRCF [version] - London Reporting Academy.</w:t>
      </w:r>
    </w:p>
    <w:p>
      <w:pPr>
        <w:pStyle w:val="FirstParagraph"/>
        <w:widowControl/>
      </w:pPr>
      <w:r>
        <w:rPr>
          <w:rFonts w:ascii="Arial" w:hAnsi="Arial" w:eastAsia="Arial" w:cs="Arial"/>
          <w:sz w:val="20"/>
        </w:rPr>
        <w:t xml:space="preserve">This is a source relationship only. It is not approval, alignment, accreditation, certification or endorsement.</w:t>
      </w:r>
    </w:p>
    <w:bookmarkEnd w:id="28"/>
    <w:bookmarkStart w:id="29" w:name="X2e09a845d3b7503bed36160f04eaf36346e5f85"/>
    <w:p>
      <w:pPr>
        <w:pStyle w:val="Heading2"/>
        <w:widowControl/>
      </w:pPr>
      <w:r>
        <w:rPr>
          <w:rFonts w:ascii="Arial" w:hAnsi="Arial" w:eastAsia="Arial" w:cs="Arial"/>
        </w:rPr>
        <w:t xml:space="preserve">7.3 Independent curriculum and qualification mapping notice</w:t>
      </w:r>
    </w:p>
    <w:p>
      <w:pPr>
        <w:pStyle w:val="FirstParagraph"/>
        <w:widowControl/>
      </w:pPr>
      <w:r>
        <w:rPr>
          <w:rFonts w:ascii="Arial" w:hAnsi="Arial" w:eastAsia="Arial" w:cs="Arial"/>
          <w:sz w:val="20"/>
        </w:rPr>
        <w:t xml:space="preserve">A published or marketed Independent Mapping must carry:</w:t>
      </w:r>
    </w:p>
    <w:p>
      <w:pPr>
        <w:pStyle w:val="BlockText"/>
        <w:widowControl/>
      </w:pPr>
      <w:r>
        <w:rPr>
          <w:rFonts w:ascii="Arial" w:hAnsi="Arial" w:eastAsia="Arial" w:cs="Arial"/>
          <w:b/>
          <w:bCs/>
          <w:sz w:val="20"/>
        </w:rPr>
        <w:t xml:space="preserve">Independently mapped with reference to the Sustainability Reporting Competency Framework (SRCF), version [version]. This mapping has not been reviewed, approved or endorsed by London Reporting Academy Limited.</w:t>
      </w:r>
    </w:p>
    <w:p>
      <w:pPr>
        <w:pStyle w:val="FirstParagraph"/>
        <w:widowControl/>
      </w:pPr>
      <w:r>
        <w:rPr>
          <w:rFonts w:ascii="Arial" w:hAnsi="Arial" w:eastAsia="Arial" w:cs="Arial"/>
          <w:sz w:val="20"/>
        </w:rPr>
        <w:t xml:space="preserve">The notice must be placed near the mapping claim or in a clearly linked explanatory statement.</w:t>
      </w:r>
    </w:p>
    <w:bookmarkEnd w:id="29"/>
    <w:bookmarkStart w:id="30" w:name="when-notices-are-combined"/>
    <w:p>
      <w:pPr>
        <w:pStyle w:val="Heading2"/>
        <w:widowControl/>
      </w:pPr>
      <w:r>
        <w:rPr>
          <w:rFonts w:ascii="Arial" w:hAnsi="Arial" w:eastAsia="Arial" w:cs="Arial"/>
        </w:rPr>
        <w:t xml:space="preserve">7.4 When notices are combined</w:t>
      </w:r>
    </w:p>
    <w:p>
      <w:pPr>
        <w:pStyle w:val="FirstParagraph"/>
        <w:widowControl/>
      </w:pPr>
      <w:r>
        <w:rPr>
          <w:rFonts w:ascii="Arial" w:hAnsi="Arial" w:eastAsia="Arial" w:cs="Arial"/>
          <w:sz w:val="20"/>
        </w:rPr>
        <w:t xml:space="preserve">Where an artefact both reproduces Framework Materials and is materially informed by them, the notices may be combined if all required information and limitations remain clear.</w:t>
      </w:r>
    </w:p>
    <w:bookmarkEnd w:id="30"/>
    <w:bookmarkStart w:id="31" w:name="integrity-and-modifications"/>
    <w:p>
      <w:pPr>
        <w:pStyle w:val="Heading2"/>
        <w:widowControl/>
      </w:pPr>
      <w:r>
        <w:rPr>
          <w:rFonts w:ascii="Arial" w:hAnsi="Arial" w:eastAsia="Arial" w:cs="Arial"/>
        </w:rPr>
        <w:t xml:space="preserve">7.5 Integrity and modifications</w:t>
      </w:r>
    </w:p>
    <w:p>
      <w:pPr>
        <w:widowControl/>
        <w:numPr>
          <w:ilvl w:val="0"/>
          <w:numId w:val="1006"/>
        </w:numPr>
      </w:pPr>
      <w:r>
        <w:rPr>
          <w:rFonts w:ascii="Arial" w:hAnsi="Arial" w:eastAsia="Arial" w:cs="Arial"/>
          <w:sz w:val="20"/>
        </w:rPr>
        <w:t xml:space="preserve">A verbatim quotation must be accurate and not edited to change meaning.</w:t>
      </w:r>
    </w:p>
    <w:p>
      <w:pPr>
        <w:widowControl/>
        <w:numPr>
          <w:ilvl w:val="0"/>
          <w:numId w:val="1006"/>
        </w:numPr>
      </w:pPr>
      <w:r>
        <w:rPr>
          <w:rFonts w:ascii="Arial" w:hAnsi="Arial" w:eastAsia="Arial" w:cs="Arial"/>
          <w:sz w:val="20"/>
        </w:rPr>
        <w:t xml:space="preserve">Official content must retain Stable Identifiers and must not be renumbered or relabelled as official.</w:t>
      </w:r>
    </w:p>
    <w:p>
      <w:pPr>
        <w:widowControl/>
        <w:numPr>
          <w:ilvl w:val="0"/>
          <w:numId w:val="1006"/>
        </w:numPr>
      </w:pPr>
      <w:r>
        <w:rPr>
          <w:rFonts w:ascii="Arial" w:hAnsi="Arial" w:eastAsia="Arial" w:cs="Arial"/>
          <w:sz w:val="20"/>
        </w:rPr>
        <w:t xml:space="preserve">A modified, rearranged or translated version must be clearly labelled modified, adapted or unofficial and must not be presented as an official Release.</w:t>
      </w:r>
    </w:p>
    <w:p>
      <w:pPr>
        <w:widowControl/>
        <w:numPr>
          <w:ilvl w:val="0"/>
          <w:numId w:val="1006"/>
        </w:numPr>
      </w:pPr>
      <w:r>
        <w:rPr>
          <w:rFonts w:ascii="Arial" w:hAnsi="Arial" w:eastAsia="Arial" w:cs="Arial"/>
          <w:sz w:val="20"/>
        </w:rPr>
        <w:t xml:space="preserve">You must not create identifiers imitating the SRCF identifier structure in a manner likely to cause confusion with official Stable Identifiers.</w:t>
      </w:r>
    </w:p>
    <w:p>
      <w:pPr>
        <w:widowControl/>
        <w:numPr>
          <w:ilvl w:val="0"/>
          <w:numId w:val="1006"/>
        </w:numPr>
      </w:pPr>
      <w:r>
        <w:rPr>
          <w:rFonts w:ascii="Arial" w:hAnsi="Arial" w:eastAsia="Arial" w:cs="Arial"/>
          <w:sz w:val="20"/>
        </w:rPr>
        <w:t xml:space="preserve">Copyright, source, version and status notices included in an extract must be retained.</w:t>
      </w:r>
    </w:p>
    <w:bookmarkEnd w:id="31"/>
    <w:bookmarkStart w:id="32" w:name="version-and-draft-status"/>
    <w:p>
      <w:pPr>
        <w:pStyle w:val="Heading2"/>
        <w:widowControl/>
      </w:pPr>
      <w:r>
        <w:rPr>
          <w:rFonts w:ascii="Arial" w:hAnsi="Arial" w:eastAsia="Arial" w:cs="Arial"/>
        </w:rPr>
        <w:t xml:space="preserve">7.6 Version and draft status</w:t>
      </w:r>
    </w:p>
    <w:p>
      <w:pPr>
        <w:pStyle w:val="FirstParagraph"/>
        <w:widowControl/>
      </w:pPr>
      <w:r>
        <w:rPr>
          <w:rFonts w:ascii="Arial" w:hAnsi="Arial" w:eastAsia="Arial" w:cs="Arial"/>
          <w:sz w:val="20"/>
        </w:rPr>
        <w:t xml:space="preserve">You must identify the Release used. Where material is labelled Working Draft, Review Draft, Exposure Draft, Consultation Draft or otherwise non-final, any permitted public or client-facing use must preserve that status and must not present it as final or approved.</w:t>
      </w:r>
    </w:p>
    <w:bookmarkEnd w:id="32"/>
    <w:bookmarkStart w:id="33" w:name="unofficial-internal-translations"/>
    <w:p>
      <w:pPr>
        <w:pStyle w:val="Heading2"/>
        <w:widowControl/>
      </w:pPr>
      <w:r>
        <w:rPr>
          <w:rFonts w:ascii="Arial" w:hAnsi="Arial" w:eastAsia="Arial" w:cs="Arial"/>
        </w:rPr>
        <w:t xml:space="preserve">7.7 Unofficial internal translations</w:t>
      </w:r>
    </w:p>
    <w:p>
      <w:pPr>
        <w:pStyle w:val="FirstParagraph"/>
        <w:widowControl/>
      </w:pPr>
      <w:r>
        <w:rPr>
          <w:rFonts w:ascii="Arial" w:hAnsi="Arial" w:eastAsia="Arial" w:cs="Arial"/>
          <w:sz w:val="20"/>
        </w:rPr>
        <w:t xml:space="preserve">An unofficial internal translation must state:</w:t>
      </w:r>
    </w:p>
    <w:p>
      <w:pPr>
        <w:pStyle w:val="BlockText"/>
        <w:widowControl/>
      </w:pPr>
      <w:r>
        <w:rPr>
          <w:rFonts w:ascii="Arial" w:hAnsi="Arial" w:eastAsia="Arial" w:cs="Arial"/>
          <w:b/>
          <w:bCs/>
          <w:sz w:val="20"/>
        </w:rPr>
        <w:t xml:space="preserve">Unofficial internal translation of SRCF [version]. The official English-language Release prevails. Not for external distribution.</w:t>
      </w:r>
    </w:p>
    <w:bookmarkEnd w:id="33"/>
    <w:bookmarkStart w:id="34" w:name="X43b8cf461a6e8c79d2fc92ab537226ccde43c45"/>
    <w:p>
      <w:pPr>
        <w:pStyle w:val="Heading2"/>
        <w:widowControl/>
      </w:pPr>
      <w:r>
        <w:rPr>
          <w:rFonts w:ascii="Arial" w:hAnsi="Arial" w:eastAsia="Arial" w:cs="Arial"/>
        </w:rPr>
        <w:t xml:space="preserve">7.8 No endorsement or misleading presentation</w:t>
      </w:r>
    </w:p>
    <w:p>
      <w:pPr>
        <w:pStyle w:val="FirstParagraph"/>
        <w:widowControl/>
      </w:pPr>
      <w:r>
        <w:rPr>
          <w:rFonts w:ascii="Arial" w:hAnsi="Arial" w:eastAsia="Arial" w:cs="Arial"/>
          <w:sz w:val="20"/>
        </w:rPr>
        <w:t xml:space="preserve">You must not state or imply that the Licensor, LRA, the Council, the Assessment and Credentials Board or any member has reviewed, approved, certified, accredited, assured, verified, endorsed or sponsored you or an output unless the exact status has been granted in writing.</w:t>
      </w:r>
    </w:p>
    <w:bookmarkEnd w:id="34"/>
    <w:bookmarkStart w:id="35" w:name="conditions-of-the-grant"/>
    <w:p>
      <w:pPr>
        <w:pStyle w:val="Heading2"/>
        <w:widowControl/>
      </w:pPr>
      <w:r>
        <w:rPr>
          <w:rFonts w:ascii="Arial" w:hAnsi="Arial" w:eastAsia="Arial" w:cs="Arial"/>
        </w:rPr>
        <w:t xml:space="preserve">7.9 Conditions of the grant</w:t>
      </w:r>
    </w:p>
    <w:p>
      <w:pPr>
        <w:pStyle w:val="FirstParagraph"/>
        <w:widowControl/>
      </w:pPr>
      <w:r>
        <w:rPr>
          <w:rFonts w:ascii="Arial" w:hAnsi="Arial" w:eastAsia="Arial" w:cs="Arial"/>
          <w:sz w:val="20"/>
        </w:rPr>
        <w:t xml:space="preserve">Compliance with clauses 4 to 8 is a condition of every permission granted. A use outside the permissions or failing an applicable condition is not authorised by this Licence.</w:t>
      </w:r>
    </w:p>
    <w:bookmarkEnd w:id="35"/>
    <w:bookmarkEnd w:id="36"/>
    <w:bookmarkStart w:id="37" w:name="trade-marks-claims-and-status-wording"/>
    <w:p>
      <w:pPr>
        <w:pStyle w:val="Heading1"/>
        <w:widowControl/>
      </w:pPr>
      <w:r>
        <w:rPr>
          <w:rFonts w:ascii="Arial" w:hAnsi="Arial" w:eastAsia="Arial" w:cs="Arial"/>
        </w:rPr>
        <w:t xml:space="preserve">8. Trade marks, claims and status wording</w:t>
      </w:r>
    </w:p>
    <w:p>
      <w:pPr>
        <w:pStyle w:val="FirstParagraph"/>
        <w:widowControl/>
      </w:pPr>
      <w:r>
        <w:rPr>
          <w:rFonts w:ascii="Arial" w:hAnsi="Arial" w:eastAsia="Arial" w:cs="Arial"/>
          <w:sz w:val="20"/>
        </w:rPr>
        <w:t xml:space="preserve">8.1 The Marks are owned or controlled by London Reporting Academy Limited. The combined</w:t>
      </w:r>
      <w:r>
        <w:rPr>
          <w:rFonts w:ascii="Arial" w:hAnsi="Arial" w:eastAsia="Arial" w:cs="Arial"/>
          <w:sz w:val="20"/>
        </w:rPr>
        <w:t xml:space="preserve"> </w:t>
      </w:r>
      <w:r>
        <w:rPr>
          <w:rStyle w:val="VerbatimChar"/>
          <w:rFonts w:ascii="Arial" w:hAnsi="Arial" w:eastAsia="Arial" w:cs="Arial"/>
          <w:sz w:val="20"/>
        </w:rPr>
        <w:t xml:space="preserve">LRA LONDON REPORTING ACADEMY</w:t>
      </w:r>
      <w:r>
        <w:rPr>
          <w:rFonts w:ascii="Arial" w:hAnsi="Arial" w:eastAsia="Arial" w:cs="Arial"/>
          <w:sz w:val="20"/>
        </w:rPr>
        <w:t xml:space="preserve"> </w:t>
      </w:r>
      <w:r>
        <w:rPr>
          <w:rFonts w:ascii="Arial" w:hAnsi="Arial" w:eastAsia="Arial" w:cs="Arial"/>
          <w:sz w:val="20"/>
        </w:rPr>
        <w:t xml:space="preserve">mark is registered in the United Kingdom under number UK00004143034. That registration does not mean that every other Mark is separately registered.</w:t>
      </w:r>
    </w:p>
    <w:p>
      <w:pPr>
        <w:pStyle w:val="BodyText"/>
        <w:widowControl/>
      </w:pPr>
      <w:r>
        <w:rPr>
          <w:rFonts w:ascii="Arial" w:hAnsi="Arial" w:eastAsia="Arial" w:cs="Arial"/>
          <w:sz w:val="20"/>
        </w:rPr>
        <w:t xml:space="preserve">8.2 You may use</w:t>
      </w:r>
      <w:r>
        <w:rPr>
          <w:rFonts w:ascii="Arial" w:hAnsi="Arial" w:eastAsia="Arial" w:cs="Arial"/>
          <w:sz w:val="20"/>
        </w:rPr>
        <w:t xml:space="preserve"> </w:t>
      </w:r>
      <w:r>
        <w:rPr>
          <w:rStyle w:val="VerbatimChar"/>
          <w:rFonts w:ascii="Arial" w:hAnsi="Arial" w:eastAsia="Arial" w:cs="Arial"/>
          <w:sz w:val="20"/>
        </w:rPr>
        <w:t xml:space="preserve">SRCF</w:t>
      </w:r>
      <w:r>
        <w:rPr>
          <w:rFonts w:ascii="Arial" w:hAnsi="Arial" w:eastAsia="Arial" w:cs="Arial"/>
          <w:sz w:val="20"/>
        </w:rPr>
        <w:t xml:space="preserve"> </w:t>
      </w:r>
      <w:r>
        <w:rPr>
          <w:rFonts w:ascii="Arial" w:hAnsi="Arial" w:eastAsia="Arial" w:cs="Arial"/>
          <w:sz w:val="20"/>
        </w:rPr>
        <w:t xml:space="preserve">and</w:t>
      </w:r>
      <w:r>
        <w:rPr>
          <w:rFonts w:ascii="Arial" w:hAnsi="Arial" w:eastAsia="Arial" w:cs="Arial"/>
          <w:sz w:val="20"/>
        </w:rPr>
        <w:t xml:space="preserve"> </w:t>
      </w:r>
      <w:r>
        <w:rPr>
          <w:rStyle w:val="VerbatimChar"/>
          <w:rFonts w:ascii="Arial" w:hAnsi="Arial" w:eastAsia="Arial" w:cs="Arial"/>
          <w:sz w:val="20"/>
        </w:rPr>
        <w:t xml:space="preserve">Sustainability Reporting Competency Framework</w:t>
      </w:r>
      <w:r>
        <w:rPr>
          <w:rFonts w:ascii="Arial" w:hAnsi="Arial" w:eastAsia="Arial" w:cs="Arial"/>
          <w:sz w:val="20"/>
        </w:rPr>
        <w:t xml:space="preserve"> </w:t>
      </w:r>
      <w:r>
        <w:rPr>
          <w:rFonts w:ascii="Arial" w:hAnsi="Arial" w:eastAsia="Arial" w:cs="Arial"/>
          <w:sz w:val="20"/>
        </w:rPr>
        <w:t xml:space="preserve">in plain text for accurate factual reference. You may use</w:t>
      </w:r>
      <w:r>
        <w:rPr>
          <w:rFonts w:ascii="Arial" w:hAnsi="Arial" w:eastAsia="Arial" w:cs="Arial"/>
          <w:sz w:val="20"/>
        </w:rPr>
        <w:t xml:space="preserve"> </w:t>
      </w:r>
      <w:r>
        <w:rPr>
          <w:rStyle w:val="VerbatimChar"/>
          <w:rFonts w:ascii="Arial" w:hAnsi="Arial" w:eastAsia="Arial" w:cs="Arial"/>
          <w:sz w:val="20"/>
        </w:rPr>
        <w:t xml:space="preserve">London Reporting Academy</w:t>
      </w:r>
      <w:r>
        <w:rPr>
          <w:rFonts w:ascii="Arial" w:hAnsi="Arial" w:eastAsia="Arial" w:cs="Arial"/>
          <w:sz w:val="20"/>
        </w:rPr>
        <w:t xml:space="preserve"> </w:t>
      </w:r>
      <w:r>
        <w:rPr>
          <w:rFonts w:ascii="Arial" w:hAnsi="Arial" w:eastAsia="Arial" w:cs="Arial"/>
          <w:sz w:val="20"/>
        </w:rPr>
        <w:t xml:space="preserve">or</w:t>
      </w:r>
      <w:r>
        <w:rPr>
          <w:rFonts w:ascii="Arial" w:hAnsi="Arial" w:eastAsia="Arial" w:cs="Arial"/>
          <w:sz w:val="20"/>
        </w:rPr>
        <w:t xml:space="preserve"> </w:t>
      </w:r>
      <w:r>
        <w:rPr>
          <w:rStyle w:val="VerbatimChar"/>
          <w:rFonts w:ascii="Arial" w:hAnsi="Arial" w:eastAsia="Arial" w:cs="Arial"/>
          <w:sz w:val="20"/>
        </w:rPr>
        <w:t xml:space="preserve">London Reporting Academy Limited</w:t>
      </w:r>
      <w:r>
        <w:rPr>
          <w:rFonts w:ascii="Arial" w:hAnsi="Arial" w:eastAsia="Arial" w:cs="Arial"/>
          <w:sz w:val="20"/>
        </w:rPr>
        <w:t xml:space="preserve"> </w:t>
      </w:r>
      <w:r>
        <w:rPr>
          <w:rFonts w:ascii="Arial" w:hAnsi="Arial" w:eastAsia="Arial" w:cs="Arial"/>
          <w:sz w:val="20"/>
        </w:rPr>
        <w:t xml:space="preserve">in plain text to identify the Licensor or provide a required notice. No general Mark licence is granted.</w:t>
      </w:r>
    </w:p>
    <w:p>
      <w:pPr>
        <w:pStyle w:val="BodyText"/>
        <w:widowControl/>
      </w:pPr>
      <w:r>
        <w:rPr>
          <w:rFonts w:ascii="Arial" w:hAnsi="Arial" w:eastAsia="Arial" w:cs="Arial"/>
          <w:sz w:val="20"/>
        </w:rPr>
        <w:t xml:space="preserve">8.3 Without separate written permission, you must not:</w:t>
      </w:r>
    </w:p>
    <w:p>
      <w:pPr>
        <w:widowControl/>
        <w:numPr>
          <w:ilvl w:val="0"/>
          <w:numId w:val="1007"/>
        </w:numPr>
      </w:pPr>
      <w:r>
        <w:rPr>
          <w:rFonts w:ascii="Arial" w:hAnsi="Arial" w:eastAsia="Arial" w:cs="Arial"/>
          <w:sz w:val="20"/>
        </w:rPr>
        <w:t xml:space="preserve">use a logo, device, badge, seal, stylised mark or brand artwork;</w:t>
      </w:r>
    </w:p>
    <w:p>
      <w:pPr>
        <w:widowControl/>
        <w:numPr>
          <w:ilvl w:val="0"/>
          <w:numId w:val="1007"/>
        </w:numPr>
      </w:pPr>
      <w:r>
        <w:rPr>
          <w:rFonts w:ascii="Arial" w:hAnsi="Arial" w:eastAsia="Arial" w:cs="Arial"/>
          <w:sz w:val="20"/>
        </w:rPr>
        <w:t xml:space="preserve">use a Mark or confusingly similar sign as or within a company, trading, product or service name, domain, social-media identifier, app name or source identifier; or</w:t>
      </w:r>
    </w:p>
    <w:p>
      <w:pPr>
        <w:widowControl/>
        <w:numPr>
          <w:ilvl w:val="0"/>
          <w:numId w:val="1007"/>
        </w:numPr>
      </w:pPr>
      <w:r>
        <w:rPr>
          <w:rFonts w:ascii="Arial" w:hAnsi="Arial" w:eastAsia="Arial" w:cs="Arial"/>
          <w:sz w:val="20"/>
        </w:rPr>
        <w:t xml:space="preserve">register or seek to register such a sign as a trade mark, design, company name, domain or other right.</w:t>
      </w:r>
    </w:p>
    <w:p>
      <w:pPr>
        <w:pStyle w:val="FirstParagraph"/>
        <w:widowControl/>
      </w:pPr>
      <w:r>
        <w:rPr>
          <w:rFonts w:ascii="Arial" w:hAnsi="Arial" w:eastAsia="Arial" w:cs="Arial"/>
          <w:sz w:val="20"/>
        </w:rPr>
        <w:t xml:space="preserve">8.4 The claims ladder is:</w:t>
      </w:r>
    </w:p>
    <w:tbl>
      <w:tblPr>
        <w:tblStyle w:val="TableGrid"/>
        <w:tblW w:type="pct" w:w="5000"/>
        <w:jc w:val="center"/>
        <w:tblLayout w:type="autofit"/>
        <w:tblLook w:firstRow="1" w:lastRow="0" w:firstColumn="0" w:lastColumn="0" w:noHBand="0" w:noVBand="0" w:val="0020"/>
      </w:tblPr>
      <w:tblGrid>
        <w:gridCol w:w="3960"/>
        <w:gridCol w:w="3960"/>
      </w:tblGrid>
      <w:tr>
        <w:trPr>
          <w:tblHeader w:val="true"/>
          <w:cantSplit/>
        </w:trPr>
        <w:tc>
          <w:tcPr>
            <w:vAlign w:val="top"/>
            <w:tcW w:type="dxa" w:w="2891"/>
            <w:shd w:fill="E8EDF3"/>
          </w:tcPr>
          <w:p>
            <w:pPr>
              <w:widowControl/>
              <w:spacing w:before="0" w:after="46" w:line="240" w:lineRule="auto"/>
              <w:jc w:val="left"/>
            </w:pPr>
            <w:r>
              <w:rPr>
                <w:rFonts w:ascii="Arial" w:hAnsi="Arial" w:eastAsia="Arial" w:cs="Arial"/>
                <w:b/>
                <w:sz w:val="16"/>
              </w:rPr>
              <w:t xml:space="preserve">Wording</w:t>
            </w:r>
          </w:p>
        </w:tc>
        <w:tc>
          <w:tcPr>
            <w:vAlign w:val="top"/>
            <w:tcW w:type="dxa" w:w="6803"/>
            <w:shd w:fill="E8EDF3"/>
          </w:tcPr>
          <w:p>
            <w:pPr>
              <w:widowControl/>
              <w:spacing w:before="0" w:after="46" w:line="240" w:lineRule="auto"/>
              <w:jc w:val="left"/>
            </w:pPr>
            <w:r>
              <w:rPr>
                <w:rFonts w:ascii="Arial" w:hAnsi="Arial" w:eastAsia="Arial" w:cs="Arial"/>
                <w:b/>
                <w:sz w:val="16"/>
              </w:rPr>
              <w:t xml:space="preserve">Status under this Licence</w:t>
            </w:r>
          </w:p>
        </w:tc>
      </w:tr>
      <w:tr>
        <w:trPr>
          <w:cantSplit/>
        </w:trPr>
        <w:tc>
          <w:tcPr>
            <w:tcW w:type="dxa" w:w="2891"/>
            <w:vAlign w:val="top"/>
          </w:tcPr>
          <w:p>
            <w:pPr>
              <w:widowControl/>
              <w:spacing w:before="0" w:after="46" w:line="240" w:lineRule="auto"/>
              <w:jc w:val="left"/>
            </w:pPr>
            <w:r>
              <w:rPr>
                <w:rStyle w:val="VerbatimChar"/>
                <w:rFonts w:ascii="Arial" w:hAnsi="Arial" w:eastAsia="Arial" w:cs="Arial"/>
                <w:sz w:val="16"/>
              </w:rPr>
              <w:t xml:space="preserve">References SRCF</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developed with reference to SRCF</w:t>
            </w:r>
            <w:r>
              <w:rPr>
                <w:rFonts w:ascii="Arial" w:hAnsi="Arial" w:eastAsia="Arial" w:cs="Arial"/>
                <w:sz w:val="16"/>
              </w:rPr>
              <w:t xml:space="preserve"> </w:t>
            </w:r>
            <w:r>
              <w:rPr>
                <w:rFonts w:ascii="Arial" w:hAnsi="Arial" w:eastAsia="Arial" w:cs="Arial"/>
                <w:sz w:val="16"/>
              </w:rPr>
              <w:t xml:space="preserve">or the approved short form</w:t>
            </w:r>
          </w:p>
        </w:tc>
        <w:tc>
          <w:tcPr>
            <w:tcW w:type="dxa" w:w="6803"/>
            <w:vAlign w:val="top"/>
          </w:tcPr>
          <w:p>
            <w:pPr>
              <w:widowControl/>
              <w:spacing w:before="0" w:after="46" w:line="240" w:lineRule="auto"/>
              <w:jc w:val="left"/>
            </w:pPr>
            <w:r>
              <w:rPr>
                <w:rFonts w:ascii="Arial" w:hAnsi="Arial" w:eastAsia="Arial" w:cs="Arial"/>
                <w:sz w:val="16"/>
              </w:rPr>
              <w:t xml:space="preserve">permitted subject to clause 7</w:t>
            </w:r>
          </w:p>
        </w:tc>
      </w:tr>
      <w:tr>
        <w:trPr>
          <w:cantSplit/>
        </w:trPr>
        <w:tc>
          <w:tcPr>
            <w:tcW w:type="dxa" w:w="2891"/>
            <w:vAlign w:val="top"/>
          </w:tcPr>
          <w:p>
            <w:pPr>
              <w:widowControl/>
              <w:spacing w:before="0" w:after="46" w:line="240" w:lineRule="auto"/>
              <w:jc w:val="left"/>
            </w:pPr>
            <w:r>
              <w:rPr>
                <w:rStyle w:val="VerbatimChar"/>
                <w:rFonts w:ascii="Arial" w:hAnsi="Arial" w:eastAsia="Arial" w:cs="Arial"/>
                <w:sz w:val="16"/>
              </w:rPr>
              <w:t xml:space="preserve">Independently mapped with reference to SRCF</w:t>
            </w:r>
          </w:p>
        </w:tc>
        <w:tc>
          <w:tcPr>
            <w:tcW w:type="dxa" w:w="6803"/>
            <w:vAlign w:val="top"/>
          </w:tcPr>
          <w:p>
            <w:pPr>
              <w:widowControl/>
              <w:spacing w:before="0" w:after="46" w:line="240" w:lineRule="auto"/>
              <w:jc w:val="left"/>
            </w:pPr>
            <w:r>
              <w:rPr>
                <w:rFonts w:ascii="Arial" w:hAnsi="Arial" w:eastAsia="Arial" w:cs="Arial"/>
                <w:sz w:val="16"/>
              </w:rPr>
              <w:t xml:space="preserve">permitted only with the clause 7.3 disclaimer</w:t>
            </w:r>
          </w:p>
        </w:tc>
      </w:tr>
      <w:tr>
        <w:trPr>
          <w:cantSplit/>
        </w:trPr>
        <w:tc>
          <w:tcPr>
            <w:tcW w:type="dxa" w:w="2891"/>
            <w:vAlign w:val="top"/>
          </w:tcPr>
          <w:p>
            <w:pPr>
              <w:widowControl/>
              <w:spacing w:before="0" w:after="46" w:line="240" w:lineRule="auto"/>
              <w:jc w:val="left"/>
            </w:pPr>
            <w:r>
              <w:rPr>
                <w:rStyle w:val="VerbatimChar"/>
                <w:rFonts w:ascii="Arial" w:hAnsi="Arial" w:eastAsia="Arial" w:cs="Arial"/>
                <w:sz w:val="16"/>
              </w:rPr>
              <w:t xml:space="preserve">Based on SRCF</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SRCF-based</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aligned with SRCF</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SRCF-aligned</w:t>
            </w:r>
          </w:p>
        </w:tc>
        <w:tc>
          <w:tcPr>
            <w:tcW w:type="dxa" w:w="6803"/>
            <w:vAlign w:val="top"/>
          </w:tcPr>
          <w:p>
            <w:pPr>
              <w:widowControl/>
              <w:spacing w:before="0" w:after="46" w:line="240" w:lineRule="auto"/>
              <w:jc w:val="left"/>
            </w:pPr>
            <w:r>
              <w:rPr>
                <w:rFonts w:ascii="Arial" w:hAnsi="Arial" w:eastAsia="Arial" w:cs="Arial"/>
                <w:sz w:val="16"/>
              </w:rPr>
              <w:t xml:space="preserve">requires a separate written licence or status grant</w:t>
            </w:r>
          </w:p>
        </w:tc>
      </w:tr>
      <w:tr>
        <w:trPr>
          <w:cantSplit/>
        </w:trPr>
        <w:tc>
          <w:tcPr>
            <w:tcW w:type="dxa" w:w="2891"/>
            <w:vAlign w:val="top"/>
          </w:tcPr>
          <w:p>
            <w:pPr>
              <w:widowControl/>
              <w:spacing w:before="0" w:after="46" w:line="240" w:lineRule="auto"/>
              <w:jc w:val="left"/>
            </w:pPr>
            <w:r>
              <w:rPr>
                <w:rStyle w:val="VerbatimChar"/>
                <w:rFonts w:ascii="Arial" w:hAnsi="Arial" w:eastAsia="Arial" w:cs="Arial"/>
                <w:sz w:val="16"/>
              </w:rPr>
              <w:t xml:space="preserve">Curriculum Aligned to SRCF</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 Academic Partner</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 Licensed Learning Partner</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 Authorised Trainer</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 Licensed Integration</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 Verified Technology</w:t>
            </w:r>
          </w:p>
        </w:tc>
        <w:tc>
          <w:tcPr>
            <w:tcW w:type="dxa" w:w="6803"/>
            <w:vAlign w:val="top"/>
          </w:tcPr>
          <w:p>
            <w:pPr>
              <w:widowControl/>
              <w:spacing w:before="0" w:after="46" w:line="240" w:lineRule="auto"/>
              <w:jc w:val="left"/>
            </w:pPr>
            <w:r>
              <w:rPr>
                <w:rFonts w:ascii="Arial" w:hAnsi="Arial" w:eastAsia="Arial" w:cs="Arial"/>
                <w:sz w:val="16"/>
              </w:rPr>
              <w:t xml:space="preserve">requires the exact current written status and compliance with its rules</w:t>
            </w:r>
          </w:p>
        </w:tc>
      </w:tr>
      <w:tr>
        <w:trPr>
          <w:cantSplit/>
        </w:trPr>
        <w:tc>
          <w:tcPr>
            <w:tcW w:type="dxa" w:w="2891"/>
            <w:vAlign w:val="top"/>
          </w:tcPr>
          <w:p>
            <w:pPr>
              <w:widowControl/>
              <w:spacing w:before="0" w:after="46" w:line="240" w:lineRule="auto"/>
              <w:jc w:val="left"/>
            </w:pPr>
            <w:r>
              <w:rPr>
                <w:rStyle w:val="VerbatimChar"/>
                <w:rFonts w:ascii="Arial" w:hAnsi="Arial" w:eastAsia="Arial" w:cs="Arial"/>
                <w:sz w:val="16"/>
              </w:rPr>
              <w:t xml:space="preserve">SRCF-certified</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SRCF-accredited</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SRCF-approved</w:t>
            </w:r>
            <w:r>
              <w:rPr>
                <w:rFonts w:ascii="Arial" w:hAnsi="Arial" w:eastAsia="Arial" w:cs="Arial"/>
                <w:sz w:val="16"/>
              </w:rPr>
              <w:t xml:space="preserve">,</w:t>
            </w:r>
            <w:r>
              <w:rPr>
                <w:rFonts w:ascii="Arial" w:hAnsi="Arial" w:eastAsia="Arial" w:cs="Arial"/>
                <w:sz w:val="16"/>
              </w:rPr>
              <w:t xml:space="preserve"> </w:t>
            </w:r>
            <w:r>
              <w:rPr>
                <w:rStyle w:val="VerbatimChar"/>
                <w:rFonts w:ascii="Arial" w:hAnsi="Arial" w:eastAsia="Arial" w:cs="Arial"/>
                <w:sz w:val="16"/>
              </w:rPr>
              <w:t xml:space="preserve">SRCF-endorsed</w:t>
            </w:r>
            <w:r>
              <w:rPr>
                <w:rFonts w:ascii="Arial" w:hAnsi="Arial" w:eastAsia="Arial" w:cs="Arial"/>
                <w:sz w:val="16"/>
              </w:rPr>
              <w:t xml:space="preserve"> </w:t>
            </w:r>
            <w:r>
              <w:rPr>
                <w:rFonts w:ascii="Arial" w:hAnsi="Arial" w:eastAsia="Arial" w:cs="Arial"/>
                <w:sz w:val="16"/>
              </w:rPr>
              <w:t xml:space="preserve">or equivalent</w:t>
            </w:r>
          </w:p>
        </w:tc>
        <w:tc>
          <w:tcPr>
            <w:tcW w:type="dxa" w:w="6803"/>
            <w:vAlign w:val="top"/>
          </w:tcPr>
          <w:p>
            <w:pPr>
              <w:widowControl/>
              <w:spacing w:before="0" w:after="46" w:line="240" w:lineRule="auto"/>
              <w:jc w:val="left"/>
            </w:pPr>
            <w:r>
              <w:rPr>
                <w:rFonts w:ascii="Arial" w:hAnsi="Arial" w:eastAsia="Arial" w:cs="Arial"/>
                <w:sz w:val="16"/>
              </w:rPr>
              <w:t xml:space="preserve">prohibited unless the Licensor has expressly granted the exact claim under a published scheme</w:t>
            </w:r>
          </w:p>
        </w:tc>
      </w:tr>
    </w:tbl>
    <w:p>
      <w:pPr>
        <w:pStyle w:val="BodyText"/>
        <w:widowControl/>
      </w:pPr>
      <w:r>
        <w:rPr>
          <w:rFonts w:ascii="Arial" w:hAnsi="Arial" w:eastAsia="Arial" w:cs="Arial"/>
          <w:sz w:val="20"/>
        </w:rPr>
        <w:t xml:space="preserve">8.5 A factual mapping may identify SRCF units or levels compared. It must not be described as aligned, approved, certified or accredited without the applicable status.</w:t>
      </w:r>
    </w:p>
    <w:p>
      <w:pPr>
        <w:pStyle w:val="BodyText"/>
        <w:widowControl/>
      </w:pPr>
      <w:r>
        <w:rPr>
          <w:rFonts w:ascii="Arial" w:hAnsi="Arial" w:eastAsia="Arial" w:cs="Arial"/>
          <w:sz w:val="20"/>
        </w:rPr>
        <w:t xml:space="preserve">8.6 You must not use the symbol ® unless the relevant mark is registered in the territory and the Licensor has authorised that use in current brand guidance.</w:t>
      </w:r>
    </w:p>
    <w:p>
      <w:pPr>
        <w:pStyle w:val="BodyText"/>
        <w:widowControl/>
      </w:pPr>
      <w:r>
        <w:rPr>
          <w:rFonts w:ascii="Arial" w:hAnsi="Arial" w:eastAsia="Arial" w:cs="Arial"/>
          <w:sz w:val="20"/>
        </w:rPr>
        <w:t xml:space="preserve">8.7 Misleading status wording or unauthorised Mark use may infringe trade mark or passing-off rights and may give rise to contractual or other remedies.</w:t>
      </w:r>
    </w:p>
    <w:bookmarkEnd w:id="37"/>
    <w:bookmarkStart w:id="38" w:name="X5fcc1dcdabd4c766d87980806517712c3d142ef"/>
    <w:p>
      <w:pPr>
        <w:pStyle w:val="Heading1"/>
        <w:widowControl/>
      </w:pPr>
      <w:r>
        <w:rPr>
          <w:rFonts w:ascii="Arial" w:hAnsi="Arial" w:eastAsia="Arial" w:cs="Arial"/>
        </w:rPr>
        <w:t xml:space="preserve">9. Nature of SRCF and no professional advice</w:t>
      </w:r>
    </w:p>
    <w:p>
      <w:pPr>
        <w:pStyle w:val="FirstParagraph"/>
        <w:widowControl/>
      </w:pPr>
      <w:r>
        <w:rPr>
          <w:rFonts w:ascii="Arial" w:hAnsi="Arial" w:eastAsia="Arial" w:cs="Arial"/>
          <w:sz w:val="20"/>
        </w:rPr>
        <w:t xml:space="preserve">9.1 SRCF is a competency framework. It is not a sustainability disclosure standard, law, regulation, assurance standard, certification of a corporate report, investment recommendation or substitute for professional judgement.</w:t>
      </w:r>
    </w:p>
    <w:p>
      <w:pPr>
        <w:pStyle w:val="BodyText"/>
        <w:widowControl/>
      </w:pPr>
      <w:r>
        <w:rPr>
          <w:rFonts w:ascii="Arial" w:hAnsi="Arial" w:eastAsia="Arial" w:cs="Arial"/>
          <w:sz w:val="20"/>
        </w:rPr>
        <w:t xml:space="preserve">9.2 Framework Materials are not legal, regulatory, accounting, audit, assurance, tax, investment, employment, human-resources or other professional advice.</w:t>
      </w:r>
    </w:p>
    <w:p>
      <w:pPr>
        <w:pStyle w:val="BodyText"/>
        <w:widowControl/>
      </w:pPr>
      <w:r>
        <w:rPr>
          <w:rFonts w:ascii="Arial" w:hAnsi="Arial" w:eastAsia="Arial" w:cs="Arial"/>
          <w:sz w:val="20"/>
        </w:rPr>
        <w:t xml:space="preserve">9.3 The Licensor does not guarantee that a Release satisfies any regulator, standard setter, employer, professional body, qualification provider or jurisdiction or remains current for a particular purpose.</w:t>
      </w:r>
    </w:p>
    <w:p>
      <w:pPr>
        <w:pStyle w:val="BodyText"/>
        <w:widowControl/>
      </w:pPr>
      <w:r>
        <w:rPr>
          <w:rFonts w:ascii="Arial" w:hAnsi="Arial" w:eastAsia="Arial" w:cs="Arial"/>
          <w:sz w:val="20"/>
        </w:rPr>
        <w:t xml:space="preserve">9.4 Unless accompanied by a separately developed and appropriately validated assessment methodology, Framework Materials are not a psychometric test or a complete or sole basis for recruitment, promotion, remuneration, qualification, professional licensing, discipline or dismissal decisions.</w:t>
      </w:r>
    </w:p>
    <w:p>
      <w:pPr>
        <w:pStyle w:val="BodyText"/>
        <w:widowControl/>
      </w:pPr>
      <w:r>
        <w:rPr>
          <w:rFonts w:ascii="Arial" w:hAnsi="Arial" w:eastAsia="Arial" w:cs="Arial"/>
          <w:sz w:val="20"/>
        </w:rPr>
        <w:t xml:space="preserve">9.5 This Licence does not authorise personal-data processing. Users are responsible for applicable privacy, equality, employment and other legal obligations.</w:t>
      </w:r>
    </w:p>
    <w:p>
      <w:pPr>
        <w:pStyle w:val="BodyText"/>
        <w:widowControl/>
      </w:pPr>
      <w:r>
        <w:rPr>
          <w:rFonts w:ascii="Arial" w:hAnsi="Arial" w:eastAsia="Arial" w:cs="Arial"/>
          <w:sz w:val="20"/>
        </w:rPr>
        <w:t xml:space="preserve">9.6 An Independent Mapping or Academic Reference Use does not establish that a programme is officially aligned, that graduates are competent or that the Licensor has reviewed the institution or curriculum.</w:t>
      </w:r>
    </w:p>
    <w:bookmarkEnd w:id="38"/>
    <w:bookmarkStart w:id="39" w:name="warranties-and-liability"/>
    <w:p>
      <w:pPr>
        <w:pStyle w:val="Heading1"/>
        <w:widowControl/>
      </w:pPr>
      <w:r>
        <w:rPr>
          <w:rFonts w:ascii="Arial" w:hAnsi="Arial" w:eastAsia="Arial" w:cs="Arial"/>
        </w:rPr>
        <w:t xml:space="preserve">10. Warranties and liability</w:t>
      </w:r>
    </w:p>
    <w:p>
      <w:pPr>
        <w:pStyle w:val="FirstParagraph"/>
        <w:widowControl/>
      </w:pPr>
      <w:r>
        <w:rPr>
          <w:rFonts w:ascii="Arial" w:hAnsi="Arial" w:eastAsia="Arial" w:cs="Arial"/>
          <w:sz w:val="20"/>
        </w:rPr>
        <w:t xml:space="preserve">10.1 Nothing excludes or limits liability for death or personal injury caused by negligence, fraud or fraudulent misrepresentation, or any liability that cannot lawfully be excluded or limited.</w:t>
      </w:r>
    </w:p>
    <w:p>
      <w:pPr>
        <w:pStyle w:val="BodyText"/>
        <w:widowControl/>
      </w:pPr>
      <w:r>
        <w:rPr>
          <w:rFonts w:ascii="Arial" w:hAnsi="Arial" w:eastAsia="Arial" w:cs="Arial"/>
          <w:sz w:val="20"/>
        </w:rPr>
        <w:t xml:space="preserve">10.2 Subject to clause 10.1, Framework Materials are provided without charge on an</w:t>
      </w:r>
      <w:r>
        <w:rPr>
          <w:rFonts w:ascii="Arial" w:hAnsi="Arial" w:eastAsia="Arial" w:cs="Arial"/>
          <w:sz w:val="20"/>
        </w:rPr>
        <w:t xml:space="preserve"> </w:t>
      </w:r>
      <w:r>
        <w:rPr>
          <w:rStyle w:val="VerbatimChar"/>
          <w:rFonts w:ascii="Arial" w:hAnsi="Arial" w:eastAsia="Arial" w:cs="Arial"/>
          <w:sz w:val="20"/>
        </w:rPr>
        <w:t xml:space="preserve">as is</w:t>
      </w:r>
      <w:r>
        <w:rPr>
          <w:rFonts w:ascii="Arial" w:hAnsi="Arial" w:eastAsia="Arial" w:cs="Arial"/>
          <w:sz w:val="20"/>
        </w:rPr>
        <w:t xml:space="preserve"> </w:t>
      </w:r>
      <w:r>
        <w:rPr>
          <w:rFonts w:ascii="Arial" w:hAnsi="Arial" w:eastAsia="Arial" w:cs="Arial"/>
          <w:sz w:val="20"/>
        </w:rPr>
        <w:t xml:space="preserve">and</w:t>
      </w:r>
      <w:r>
        <w:rPr>
          <w:rFonts w:ascii="Arial" w:hAnsi="Arial" w:eastAsia="Arial" w:cs="Arial"/>
          <w:sz w:val="20"/>
        </w:rPr>
        <w:t xml:space="preserve"> </w:t>
      </w:r>
      <w:r>
        <w:rPr>
          <w:rStyle w:val="VerbatimChar"/>
          <w:rFonts w:ascii="Arial" w:hAnsi="Arial" w:eastAsia="Arial" w:cs="Arial"/>
          <w:sz w:val="20"/>
        </w:rPr>
        <w:t xml:space="preserve">as available</w:t>
      </w:r>
      <w:r>
        <w:rPr>
          <w:rFonts w:ascii="Arial" w:hAnsi="Arial" w:eastAsia="Arial" w:cs="Arial"/>
          <w:sz w:val="20"/>
        </w:rPr>
        <w:t xml:space="preserve"> </w:t>
      </w:r>
      <w:r>
        <w:rPr>
          <w:rFonts w:ascii="Arial" w:hAnsi="Arial" w:eastAsia="Arial" w:cs="Arial"/>
          <w:sz w:val="20"/>
        </w:rPr>
        <w:t xml:space="preserve">basis. To the fullest extent permitted by law, the Licensor excludes representations, warranties, conditions and terms, express, implied or statutory, including as to accuracy, completeness, quality, fitness, availability and non-infringement.</w:t>
      </w:r>
    </w:p>
    <w:p>
      <w:pPr>
        <w:pStyle w:val="BodyText"/>
        <w:widowControl/>
      </w:pPr>
      <w:r>
        <w:rPr>
          <w:rFonts w:ascii="Arial" w:hAnsi="Arial" w:eastAsia="Arial" w:cs="Arial"/>
          <w:sz w:val="20"/>
        </w:rPr>
        <w:t xml:space="preserve">10.3 If you are a Business User, subject to clause 10.1:</w:t>
      </w:r>
    </w:p>
    <w:p>
      <w:pPr>
        <w:widowControl/>
        <w:numPr>
          <w:ilvl w:val="0"/>
          <w:numId w:val="1008"/>
        </w:numPr>
      </w:pPr>
      <w:r>
        <w:rPr>
          <w:rFonts w:ascii="Arial" w:hAnsi="Arial" w:eastAsia="Arial" w:cs="Arial"/>
          <w:sz w:val="20"/>
        </w:rPr>
        <w:t xml:space="preserve">the Licensor is not liable in contract, tort, breach of statutory duty, misrepresentation, restitution or otherwise for loss of profit, revenue, business, opportunity, savings, goodwill or reputation; loss or corruption of data; or indirect or consequential loss;</w:t>
      </w:r>
    </w:p>
    <w:p>
      <w:pPr>
        <w:widowControl/>
        <w:numPr>
          <w:ilvl w:val="0"/>
          <w:numId w:val="1008"/>
        </w:numPr>
      </w:pPr>
      <w:r>
        <w:rPr>
          <w:rFonts w:ascii="Arial" w:hAnsi="Arial" w:eastAsia="Arial" w:cs="Arial"/>
          <w:sz w:val="20"/>
        </w:rPr>
        <w:t xml:space="preserve">the Licensor’s total aggregate liability arising from this Licence and all Releases used by you is limited to £100; and</w:t>
      </w:r>
    </w:p>
    <w:p>
      <w:pPr>
        <w:widowControl/>
        <w:numPr>
          <w:ilvl w:val="0"/>
          <w:numId w:val="1008"/>
        </w:numPr>
      </w:pPr>
      <w:r>
        <w:rPr>
          <w:rFonts w:ascii="Arial" w:hAnsi="Arial" w:eastAsia="Arial" w:cs="Arial"/>
          <w:sz w:val="20"/>
        </w:rPr>
        <w:t xml:space="preserve">you acknowledge that the risk allocation reflects the no-fee availability and your responsibility for deciding whether and how to use the Materials.</w:t>
      </w:r>
    </w:p>
    <w:p>
      <w:pPr>
        <w:pStyle w:val="FirstParagraph"/>
        <w:widowControl/>
      </w:pPr>
      <w:r>
        <w:rPr>
          <w:rFonts w:ascii="Arial" w:hAnsi="Arial" w:eastAsia="Arial" w:cs="Arial"/>
          <w:sz w:val="20"/>
        </w:rPr>
        <w:t xml:space="preserve">10.4 If you are a Consumer, mandatory statutory rights are unaffected. Subject to clause 10.1, the Licensor is responsible only for foreseeable loss caused by breach of this Licence or failure to use reasonable care and skill, and not for business loss.</w:t>
      </w:r>
    </w:p>
    <w:bookmarkEnd w:id="39"/>
    <w:bookmarkStart w:id="40" w:name="suspension-termination-and-consequences"/>
    <w:p>
      <w:pPr>
        <w:pStyle w:val="Heading1"/>
        <w:widowControl/>
      </w:pPr>
      <w:r>
        <w:rPr>
          <w:rFonts w:ascii="Arial" w:hAnsi="Arial" w:eastAsia="Arial" w:cs="Arial"/>
        </w:rPr>
        <w:t xml:space="preserve">11. Suspension, termination and consequences</w:t>
      </w:r>
    </w:p>
    <w:p>
      <w:pPr>
        <w:pStyle w:val="FirstParagraph"/>
        <w:widowControl/>
      </w:pPr>
      <w:r>
        <w:rPr>
          <w:rFonts w:ascii="Arial" w:hAnsi="Arial" w:eastAsia="Arial" w:cs="Arial"/>
          <w:sz w:val="20"/>
        </w:rPr>
        <w:t xml:space="preserve">11.1 Permissions apply while you comply with this Licence.</w:t>
      </w:r>
    </w:p>
    <w:p>
      <w:pPr>
        <w:pStyle w:val="BodyText"/>
        <w:widowControl/>
      </w:pPr>
      <w:r>
        <w:rPr>
          <w:rFonts w:ascii="Arial" w:hAnsi="Arial" w:eastAsia="Arial" w:cs="Arial"/>
          <w:sz w:val="20"/>
        </w:rPr>
        <w:t xml:space="preserve">11.2 Permissions are automatically suspended during breach. For a first non-deliberate remediable breach, they are reinstated from the date of full remedy if remedied within 30 days after awareness or notice. Reinstatement does not retrospectively authorise acts during suspension.</w:t>
      </w:r>
    </w:p>
    <w:p>
      <w:pPr>
        <w:pStyle w:val="BodyText"/>
        <w:widowControl/>
      </w:pPr>
      <w:r>
        <w:rPr>
          <w:rFonts w:ascii="Arial" w:hAnsi="Arial" w:eastAsia="Arial" w:cs="Arial"/>
          <w:sz w:val="20"/>
        </w:rPr>
        <w:t xml:space="preserve">11.3 The Licensor may terminate permissions immediately by written notice where:</w:t>
      </w:r>
    </w:p>
    <w:p>
      <w:pPr>
        <w:widowControl/>
        <w:numPr>
          <w:ilvl w:val="0"/>
          <w:numId w:val="1009"/>
        </w:numPr>
      </w:pPr>
      <w:r>
        <w:rPr>
          <w:rFonts w:ascii="Arial" w:hAnsi="Arial" w:eastAsia="Arial" w:cs="Arial"/>
          <w:sz w:val="20"/>
        </w:rPr>
        <w:t xml:space="preserve">breach is deliberate, material or repeated;</w:t>
      </w:r>
    </w:p>
    <w:p>
      <w:pPr>
        <w:widowControl/>
        <w:numPr>
          <w:ilvl w:val="0"/>
          <w:numId w:val="1009"/>
        </w:numPr>
      </w:pPr>
      <w:r>
        <w:rPr>
          <w:rFonts w:ascii="Arial" w:hAnsi="Arial" w:eastAsia="Arial" w:cs="Arial"/>
          <w:sz w:val="20"/>
        </w:rPr>
        <w:t xml:space="preserve">you make a prohibited status or credential claim;</w:t>
      </w:r>
    </w:p>
    <w:p>
      <w:pPr>
        <w:widowControl/>
        <w:numPr>
          <w:ilvl w:val="0"/>
          <w:numId w:val="1009"/>
        </w:numPr>
      </w:pPr>
      <w:r>
        <w:rPr>
          <w:rFonts w:ascii="Arial" w:hAnsi="Arial" w:eastAsia="Arial" w:cs="Arial"/>
          <w:sz w:val="20"/>
        </w:rPr>
        <w:t xml:space="preserve">you misuse a Mark or distribute a substantial part outside the permitted scope;</w:t>
      </w:r>
    </w:p>
    <w:p>
      <w:pPr>
        <w:widowControl/>
        <w:numPr>
          <w:ilvl w:val="0"/>
          <w:numId w:val="1009"/>
        </w:numPr>
      </w:pPr>
      <w:r>
        <w:rPr>
          <w:rFonts w:ascii="Arial" w:hAnsi="Arial" w:eastAsia="Arial" w:cs="Arial"/>
          <w:sz w:val="20"/>
        </w:rPr>
        <w:t xml:space="preserve">assessment or credential integrity is threatened; or</w:t>
      </w:r>
    </w:p>
    <w:p>
      <w:pPr>
        <w:widowControl/>
        <w:numPr>
          <w:ilvl w:val="0"/>
          <w:numId w:val="1009"/>
        </w:numPr>
      </w:pPr>
      <w:r>
        <w:rPr>
          <w:rFonts w:ascii="Arial" w:hAnsi="Arial" w:eastAsia="Arial" w:cs="Arial"/>
          <w:sz w:val="20"/>
        </w:rPr>
        <w:t xml:space="preserve">a remediable breach is not remedied within 30 days of notice.</w:t>
      </w:r>
    </w:p>
    <w:p>
      <w:pPr>
        <w:pStyle w:val="FirstParagraph"/>
        <w:widowControl/>
      </w:pPr>
      <w:r>
        <w:rPr>
          <w:rFonts w:ascii="Arial" w:hAnsi="Arial" w:eastAsia="Arial" w:cs="Arial"/>
          <w:sz w:val="20"/>
        </w:rPr>
        <w:t xml:space="preserve">11.4 On suspension or termination, you must promptly stop the affected use. On termination, within 10 business days you must remove prohibited Framework Materials and claims from public-facing or client-facing materials within your control, except where retention is legally required. Secure archival copies may be retained solely for legal, regulatory, insurance or record-keeping purposes.</w:t>
      </w:r>
    </w:p>
    <w:p>
      <w:pPr>
        <w:pStyle w:val="BodyText"/>
        <w:widowControl/>
      </w:pPr>
      <w:r>
        <w:rPr>
          <w:rFonts w:ascii="Arial" w:hAnsi="Arial" w:eastAsia="Arial" w:cs="Arial"/>
          <w:sz w:val="20"/>
        </w:rPr>
        <w:t xml:space="preserve">11.5 Clauses 3, 8, 9, 10, 11.4, 12 and 13 survive termination.</w:t>
      </w:r>
    </w:p>
    <w:bookmarkEnd w:id="40"/>
    <w:bookmarkStart w:id="41" w:name="releases-updates-and-separate-agreements"/>
    <w:p>
      <w:pPr>
        <w:pStyle w:val="Heading1"/>
        <w:widowControl/>
      </w:pPr>
      <w:r>
        <w:rPr>
          <w:rFonts w:ascii="Arial" w:hAnsi="Arial" w:eastAsia="Arial" w:cs="Arial"/>
        </w:rPr>
        <w:t xml:space="preserve">12. Releases, updates and separate agreements</w:t>
      </w:r>
    </w:p>
    <w:p>
      <w:pPr>
        <w:pStyle w:val="FirstParagraph"/>
        <w:widowControl/>
      </w:pPr>
      <w:r>
        <w:rPr>
          <w:rFonts w:ascii="Arial" w:hAnsi="Arial" w:eastAsia="Arial" w:cs="Arial"/>
          <w:sz w:val="20"/>
        </w:rPr>
        <w:t xml:space="preserve">12.1 This Licence applies only to the Release identified as subject to it.</w:t>
      </w:r>
    </w:p>
    <w:p>
      <w:pPr>
        <w:pStyle w:val="BodyText"/>
        <w:widowControl/>
      </w:pPr>
      <w:r>
        <w:rPr>
          <w:rFonts w:ascii="Arial" w:hAnsi="Arial" w:eastAsia="Arial" w:cs="Arial"/>
          <w:sz w:val="20"/>
        </w:rPr>
        <w:t xml:space="preserve">12.2 The Licensor may publish a revised licence for a future Release. It does not retrospectively alter permissions validly granted for an earlier Release.</w:t>
      </w:r>
    </w:p>
    <w:p>
      <w:pPr>
        <w:pStyle w:val="BodyText"/>
        <w:widowControl/>
      </w:pPr>
      <w:r>
        <w:rPr>
          <w:rFonts w:ascii="Arial" w:hAnsi="Arial" w:eastAsia="Arial" w:cs="Arial"/>
          <w:sz w:val="20"/>
        </w:rPr>
        <w:t xml:space="preserve">12.3 The Licensor may correct, update, replace, supersede or withdraw Framework Materials and is not obliged to maintain or support any Release.</w:t>
      </w:r>
    </w:p>
    <w:p>
      <w:pPr>
        <w:pStyle w:val="BodyText"/>
        <w:widowControl/>
      </w:pPr>
      <w:r>
        <w:rPr>
          <w:rFonts w:ascii="Arial" w:hAnsi="Arial" w:eastAsia="Arial" w:cs="Arial"/>
          <w:sz w:val="20"/>
        </w:rPr>
        <w:t xml:space="preserve">12.4 A separate written agreement or status grant may provide additional rights or different terms. It prevails for the use and scope it covers.</w:t>
      </w:r>
    </w:p>
    <w:p>
      <w:pPr>
        <w:pStyle w:val="BodyText"/>
        <w:widowControl/>
      </w:pPr>
      <w:r>
        <w:rPr>
          <w:rFonts w:ascii="Arial" w:hAnsi="Arial" w:eastAsia="Arial" w:cs="Arial"/>
          <w:sz w:val="20"/>
        </w:rPr>
        <w:t xml:space="preserve">12.5 Where a separate agreement expires or terminates, this Licence applies only to residual uses that independently satisfy its terms. It does not preserve an expired Official Status or Mark right.</w:t>
      </w:r>
    </w:p>
    <w:bookmarkEnd w:id="41"/>
    <w:bookmarkStart w:id="42" w:name="general"/>
    <w:p>
      <w:pPr>
        <w:pStyle w:val="Heading1"/>
        <w:widowControl/>
      </w:pPr>
      <w:r>
        <w:rPr>
          <w:rFonts w:ascii="Arial" w:hAnsi="Arial" w:eastAsia="Arial" w:cs="Arial"/>
        </w:rPr>
        <w:t xml:space="preserve">13. General</w:t>
      </w:r>
    </w:p>
    <w:p>
      <w:pPr>
        <w:pStyle w:val="FirstParagraph"/>
        <w:widowControl/>
      </w:pPr>
      <w:r>
        <w:rPr>
          <w:rFonts w:ascii="Arial" w:hAnsi="Arial" w:eastAsia="Arial" w:cs="Arial"/>
          <w:sz w:val="20"/>
        </w:rPr>
        <w:t xml:space="preserve">13.1 You may not assign, transfer or sublicense this Licence except as expressly allowed for Affiliates and Personnel. The Licensor may transfer rights and obligations to a successor rights holder or administrator notified on the official SRCF website, provided that permissions already granted for the relevant Release are not materially reduced.</w:t>
      </w:r>
    </w:p>
    <w:p>
      <w:pPr>
        <w:pStyle w:val="BodyText"/>
        <w:widowControl/>
      </w:pPr>
      <w:r>
        <w:rPr>
          <w:rFonts w:ascii="Arial" w:hAnsi="Arial" w:eastAsia="Arial" w:cs="Arial"/>
          <w:sz w:val="20"/>
        </w:rPr>
        <w:t xml:space="preserve">13.2 A person who is not a party has no right under the Contracts (Rights of Third Parties) Act 1999 to enforce this Licence.</w:t>
      </w:r>
    </w:p>
    <w:p>
      <w:pPr>
        <w:pStyle w:val="BodyText"/>
        <w:widowControl/>
      </w:pPr>
      <w:r>
        <w:rPr>
          <w:rFonts w:ascii="Arial" w:hAnsi="Arial" w:eastAsia="Arial" w:cs="Arial"/>
          <w:sz w:val="20"/>
        </w:rPr>
        <w:t xml:space="preserve">13.3 If a provision is invalid or unenforceable, it is modified to the minimum extent necessary or deleted, and the remainder continues.</w:t>
      </w:r>
    </w:p>
    <w:p>
      <w:pPr>
        <w:pStyle w:val="BodyText"/>
        <w:widowControl/>
      </w:pPr>
      <w:r>
        <w:rPr>
          <w:rFonts w:ascii="Arial" w:hAnsi="Arial" w:eastAsia="Arial" w:cs="Arial"/>
          <w:sz w:val="20"/>
        </w:rPr>
        <w:t xml:space="preserve">13.4 Delay or failure to exercise a right is not a waiver.</w:t>
      </w:r>
    </w:p>
    <w:p>
      <w:pPr>
        <w:pStyle w:val="BodyText"/>
        <w:widowControl/>
      </w:pPr>
      <w:r>
        <w:rPr>
          <w:rFonts w:ascii="Arial" w:hAnsi="Arial" w:eastAsia="Arial" w:cs="Arial"/>
          <w:sz w:val="20"/>
        </w:rPr>
        <w:t xml:space="preserve">13.5 Nothing creates partnership, joint venture, agency, fiduciary or employment relationship or authority to bind the Licensor. No Council, Assessment Board or working-group participant may bind the Licensor unless specifically authorised in writing.</w:t>
      </w:r>
    </w:p>
    <w:p>
      <w:pPr>
        <w:pStyle w:val="BodyText"/>
        <w:widowControl/>
      </w:pPr>
      <w:r>
        <w:rPr>
          <w:rFonts w:ascii="Arial" w:hAnsi="Arial" w:eastAsia="Arial" w:cs="Arial"/>
          <w:sz w:val="20"/>
        </w:rPr>
        <w:t xml:space="preserve">13.6 If translated, the English version prevails to the extent permitted by law.</w:t>
      </w:r>
    </w:p>
    <w:p>
      <w:pPr>
        <w:pStyle w:val="BodyText"/>
        <w:widowControl/>
      </w:pPr>
      <w:r>
        <w:rPr>
          <w:rFonts w:ascii="Arial" w:hAnsi="Arial" w:eastAsia="Arial" w:cs="Arial"/>
          <w:sz w:val="20"/>
        </w:rPr>
        <w:t xml:space="preserve">13.7 For a Business User, this Licence and non-contractual obligations are governed by the law of England and Wales and the courts of England and Wales have exclusive jurisdiction. For a Consumer, these provisions apply only to the extent permitted by mandatory law.</w:t>
      </w:r>
    </w:p>
    <w:bookmarkEnd w:id="42"/>
    <w:bookmarkStart w:id="43" w:name="contact"/>
    <w:p>
      <w:pPr>
        <w:pStyle w:val="Heading1"/>
        <w:widowControl/>
      </w:pPr>
      <w:r>
        <w:rPr>
          <w:rFonts w:ascii="Arial" w:hAnsi="Arial" w:eastAsia="Arial" w:cs="Arial"/>
        </w:rPr>
        <w:t xml:space="preserve">14. Contact</w:t>
      </w:r>
    </w:p>
    <w:p>
      <w:pPr>
        <w:pStyle w:val="FirstParagraph"/>
        <w:widowControl/>
      </w:pPr>
      <w:r>
        <w:rPr>
          <w:rFonts w:ascii="Arial" w:hAnsi="Arial" w:eastAsia="Arial" w:cs="Arial"/>
          <w:b/>
          <w:bCs/>
          <w:sz w:val="20"/>
        </w:rPr>
        <w:t xml:space="preserve">London Reporting Academy Limited</w:t>
      </w:r>
      <w:r>
        <w:rPr>
          <w:rFonts w:ascii="Arial" w:hAnsi="Arial" w:eastAsia="Arial" w:cs="Arial"/>
          <w:sz w:val="20"/>
        </w:rPr>
        <w:br/>
      </w:r>
      <w:r>
        <w:rPr>
          <w:rFonts w:ascii="Arial" w:hAnsi="Arial" w:eastAsia="Arial" w:cs="Arial"/>
          <w:sz w:val="20"/>
        </w:rPr>
        <w:t xml:space="preserve">167-169 Great Portland Street, 5th Floor</w:t>
      </w:r>
      <w:r>
        <w:rPr>
          <w:rFonts w:ascii="Arial" w:hAnsi="Arial" w:eastAsia="Arial" w:cs="Arial"/>
          <w:sz w:val="20"/>
        </w:rPr>
        <w:br/>
      </w:r>
      <w:r>
        <w:rPr>
          <w:rFonts w:ascii="Arial" w:hAnsi="Arial" w:eastAsia="Arial" w:cs="Arial"/>
          <w:sz w:val="20"/>
        </w:rPr>
        <w:t xml:space="preserve">London, Greater London, England, W1W 5PF</w:t>
      </w:r>
    </w:p>
    <w:p>
      <w:pPr>
        <w:pStyle w:val="BodyText"/>
        <w:widowControl/>
      </w:pPr>
      <w:r>
        <w:rPr>
          <w:rFonts w:ascii="Arial" w:hAnsi="Arial" w:eastAsia="Arial" w:cs="Arial"/>
          <w:b/>
          <w:bCs/>
          <w:sz w:val="20"/>
        </w:rPr>
        <w:t xml:space="preserve">Email:</w:t>
      </w:r>
      <w:r>
        <w:rPr>
          <w:rFonts w:ascii="Arial" w:hAnsi="Arial" w:eastAsia="Arial" w:cs="Arial"/>
          <w:sz w:val="20"/>
        </w:rPr>
        <w:t xml:space="preserve"> </w:t>
      </w:r>
      <w:r>
        <w:rPr>
          <w:rFonts w:ascii="Arial" w:hAnsi="Arial" w:eastAsia="Arial" w:cs="Arial"/>
          <w:sz w:val="20"/>
        </w:rPr>
        <w:t xml:space="preserve">lra@reporting.academy</w:t>
      </w:r>
      <w:r>
        <w:rPr>
          <w:rFonts w:ascii="Arial" w:hAnsi="Arial" w:eastAsia="Arial" w:cs="Arial"/>
          <w:sz w:val="20"/>
        </w:rPr>
        <w:br/>
      </w:r>
      <w:r>
        <w:rPr>
          <w:rFonts w:ascii="Arial" w:hAnsi="Arial" w:eastAsia="Arial" w:cs="Arial"/>
          <w:b/>
          <w:bCs/>
          <w:sz w:val="20"/>
        </w:rPr>
        <w:t xml:space="preserve">Subject:</w:t>
      </w:r>
      <w:r>
        <w:rPr>
          <w:rFonts w:ascii="Arial" w:hAnsi="Arial" w:eastAsia="Arial" w:cs="Arial"/>
          <w:sz w:val="20"/>
        </w:rPr>
        <w:t xml:space="preserve"> </w:t>
      </w:r>
      <w:r>
        <w:rPr>
          <w:rFonts w:ascii="Arial" w:hAnsi="Arial" w:eastAsia="Arial" w:cs="Arial"/>
          <w:sz w:val="20"/>
        </w:rPr>
        <w:t xml:space="preserve">SRCF licensing enquiry</w:t>
      </w:r>
    </w:p>
    <w:p>
      <w:pPr>
        <w:widowControl/>
      </w:pPr>
      <w:r>
        <w:rPr>
          <w:rFonts w:ascii="Arial" w:hAnsi="Arial" w:eastAsia="Arial" w:cs="Arial"/>
          <w:sz w:val="20"/>
        </w:rPr>
        <w:pict>
          <v:rect style="width:0;height:1.5pt" o:hralign="center" o:hrstd="t" o:hr="t"/>
        </w:pict>
      </w:r>
    </w:p>
    <w:p>
      <w:pPr>
        <w:pStyle w:val="FirstParagraph"/>
        <w:widowControl/>
        <w:spacing w:before="240"/>
        <w:jc w:val="center"/>
      </w:pPr>
      <w:r>
        <w:rPr>
          <w:rFonts w:ascii="Arial" w:hAnsi="Arial" w:eastAsia="Arial" w:cs="Arial"/>
          <w:b/>
          <w:bCs/>
          <w:sz w:val="20"/>
        </w:rPr>
        <w:t xml:space="preserve">End of SRCF Public Reference and Adoption Licence v1.2</w:t>
      </w:r>
    </w:p>
    <w:bookmarkEnd w:id="43"/>
    <w:sectPr w:rsidR="00FC693F" w:rsidRPr="0006063C" w:rsidSect="00034616">
      <w:headerReference r:id="rId9" w:type="default"/>
      <w:footerReference r:id="rId10" w:type="default"/>
      <w:pgSz w:h="16838" w:w="11906"/>
      <w:pgMar w:bottom="879" w:footer="397" w:gutter="0" w:header="397" w:left="1020" w:right="1020" w:top="93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rFonts w:ascii="Arial" w:hAnsi="Arial" w:eastAsia="Arial" w:cs="Arial"/>
        <w:color w:val="5F5F5F"/>
        <w:sz w:val="15"/>
      </w:rPr>
      <w:t xml:space="preserve">London Reporting Academy Limited  |  </w:t>
    </w:r>
    <w:r>
      <w:rPr>
        <w:rFonts w:ascii="Arial" w:hAnsi="Arial" w:eastAsia="Arial" w:cs="Arial"/>
        <w:sz w:val="16"/>
      </w:rPr>
      <w:fldChar w:fldCharType="begin"/>
      <w:instrText xml:space="preserve">PAGE</w:instrText>
      <w:fldChar w:fldCharType="separate"/>
      <w:t>1</w:t>
      <w:fldChar w:fldCharType="end"/>
    </w:r>
    <w:r>
      <w:rPr>
        <w:rFonts w:ascii="Arial" w:hAnsi="Arial" w:eastAsia="Arial" w:cs="Arial"/>
        <w:color w:val="5F5F5F"/>
        <w:sz w:val="15"/>
      </w:rPr>
      <w:t xml:space="preserve"> of </w:t>
    </w:r>
    <w:r>
      <w:rPr>
        <w:rFonts w:ascii="Arial" w:hAnsi="Arial" w:eastAsia="Arial" w:cs="Arial"/>
        <w:sz w:val="16"/>
      </w:rPr>
      <w:fldChar w:fldCharType="begin"/>
      <w:instrText xml:space="preserve">NUMPAGES</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left"/>
      <w:pBdr>
        <w:bottom w:val="single" w:sz="4" w:space="3" w:color="C7CDD4"/>
      </w:pBdr>
    </w:pPr>
    <w:r>
      <w:rPr>
        <w:rFonts w:ascii="Arial" w:hAnsi="Arial" w:eastAsia="Arial" w:cs="Arial"/>
        <w:color w:val="5F5F5F"/>
        <w:sz w:val="15"/>
      </w:rPr>
      <w:t>SRCF Public Reference and Adoption Licence v1.2</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32">
    <w:nsid w:val="00A99532"/>
    <w:multiLevelType w:val="multilevel"/>
    <w:lvl w:ilvl="0">
      <w:start w:val="2"/>
      <w:numFmt w:val="lowerRoman"/>
      <w:lvlText w:val="(%1)"/>
      <w:lvlJc w:val="left"/>
      <w:pPr>
        <w:ind w:left="720" w:hanging="480"/>
      </w:pPr>
    </w:lvl>
    <w:lvl w:ilvl="1">
      <w:start w:val="2"/>
      <w:numFmt w:val="lowerRoman"/>
      <w:lvlText w:val="(%2)"/>
      <w:lvlJc w:val="left"/>
      <w:pPr>
        <w:ind w:left="1440" w:hanging="480"/>
      </w:pPr>
    </w:lvl>
    <w:lvl w:ilvl="2">
      <w:start w:val="2"/>
      <w:numFmt w:val="lowerRoman"/>
      <w:lvlText w:val="(%3)"/>
      <w:lvlJc w:val="left"/>
      <w:pPr>
        <w:ind w:left="2160" w:hanging="480"/>
      </w:pPr>
    </w:lvl>
    <w:lvl w:ilvl="3">
      <w:start w:val="2"/>
      <w:numFmt w:val="lowerRoman"/>
      <w:lvlText w:val="(%4)"/>
      <w:lvlJc w:val="left"/>
      <w:pPr>
        <w:ind w:left="2880" w:hanging="480"/>
      </w:pPr>
    </w:lvl>
    <w:lvl w:ilvl="4">
      <w:start w:val="2"/>
      <w:numFmt w:val="lowerRoman"/>
      <w:lvlText w:val="(%5)"/>
      <w:lvlJc w:val="left"/>
      <w:pPr>
        <w:ind w:left="3600" w:hanging="480"/>
      </w:pPr>
    </w:lvl>
    <w:lvl w:ilvl="5">
      <w:start w:val="2"/>
      <w:numFmt w:val="lowerRoman"/>
      <w:lvlText w:val="(%6)"/>
      <w:lvlJc w:val="left"/>
      <w:pPr>
        <w:ind w:left="4320" w:hanging="480"/>
      </w:pPr>
    </w:lvl>
    <w:lvl w:ilvl="6">
      <w:start w:val="2"/>
      <w:numFmt w:val="lowerRoman"/>
      <w:lvlText w:val="(%7)"/>
      <w:lvlJc w:val="left"/>
      <w:pPr>
        <w:ind w:left="5040" w:hanging="480"/>
      </w:pPr>
    </w:lvl>
    <w:lvl w:ilvl="7">
      <w:start w:val="2"/>
      <w:numFmt w:val="lowerRoman"/>
      <w:lvlText w:val="(%8)"/>
      <w:lvlJc w:val="left"/>
      <w:pPr>
        <w:ind w:left="5760" w:hanging="480"/>
      </w:pPr>
    </w:lvl>
    <w:lvl w:ilvl="8">
      <w:start w:val="2"/>
      <w:numFmt w:val="lowerRoman"/>
      <w:lvlText w:val="(%9)"/>
      <w:lvlJc w:val="left"/>
      <w:pPr>
        <w:ind w:left="6480" w:hanging="480"/>
      </w:pPr>
    </w:lvl>
  </w:abstractNum>
  <w:abstractNum w:abstractNumId="99737">
    <w:nsid w:val="00A99737"/>
    <w:multiLevelType w:val="multilevel"/>
    <w:lvl w:ilvl="0">
      <w:start w:val="7"/>
      <w:numFmt w:val="lowerLetter"/>
      <w:lvlText w:val="(%1)"/>
      <w:lvlJc w:val="left"/>
      <w:pPr>
        <w:ind w:left="720" w:hanging="480"/>
      </w:pPr>
    </w:lvl>
    <w:lvl w:ilvl="1">
      <w:start w:val="7"/>
      <w:numFmt w:val="lowerLetter"/>
      <w:lvlText w:val="(%2)"/>
      <w:lvlJc w:val="left"/>
      <w:pPr>
        <w:ind w:left="1440" w:hanging="480"/>
      </w:pPr>
    </w:lvl>
    <w:lvl w:ilvl="2">
      <w:start w:val="7"/>
      <w:numFmt w:val="lowerLetter"/>
      <w:lvlText w:val="(%3)"/>
      <w:lvlJc w:val="left"/>
      <w:pPr>
        <w:ind w:left="2160" w:hanging="480"/>
      </w:pPr>
    </w:lvl>
    <w:lvl w:ilvl="3">
      <w:start w:val="7"/>
      <w:numFmt w:val="lowerLetter"/>
      <w:lvlText w:val="(%4)"/>
      <w:lvlJc w:val="left"/>
      <w:pPr>
        <w:ind w:left="2880" w:hanging="480"/>
      </w:pPr>
    </w:lvl>
    <w:lvl w:ilvl="4">
      <w:start w:val="7"/>
      <w:numFmt w:val="lowerLetter"/>
      <w:lvlText w:val="(%5)"/>
      <w:lvlJc w:val="left"/>
      <w:pPr>
        <w:ind w:left="3600" w:hanging="480"/>
      </w:pPr>
    </w:lvl>
    <w:lvl w:ilvl="5">
      <w:start w:val="7"/>
      <w:numFmt w:val="lowerLetter"/>
      <w:lvlText w:val="(%6)"/>
      <w:lvlJc w:val="left"/>
      <w:pPr>
        <w:ind w:left="4320" w:hanging="480"/>
      </w:pPr>
    </w:lvl>
    <w:lvl w:ilvl="6">
      <w:start w:val="7"/>
      <w:numFmt w:val="lowerLetter"/>
      <w:lvlText w:val="(%7)"/>
      <w:lvlJc w:val="left"/>
      <w:pPr>
        <w:ind w:left="5040" w:hanging="480"/>
      </w:pPr>
    </w:lvl>
    <w:lvl w:ilvl="7">
      <w:start w:val="7"/>
      <w:numFmt w:val="lowerLetter"/>
      <w:lvlText w:val="(%8)"/>
      <w:lvlJc w:val="left"/>
      <w:pPr>
        <w:ind w:left="5760" w:hanging="480"/>
      </w:pPr>
    </w:lvl>
    <w:lvl w:ilvl="8">
      <w:start w:val="7"/>
      <w:numFmt w:val="lowerLetter"/>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80" w:line="252" w:lineRule="auto" w:before="0"/>
    </w:pPr>
    <w:rPr>
      <w:rFonts w:ascii="Arial" w:eastAsia="Arial" w:hAnsi="Arial"/>
      <w:b w:val="0"/>
      <w:color w:val="242424"/>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widowControl/>
      <w:spacing w:after="100" w:before="200" w:line="240" w:lineRule="auto"/>
      <w:outlineLvl w:val="0"/>
    </w:pPr>
    <w:rPr>
      <w:rFonts w:ascii="Arial" w:asciiTheme="majorHAnsi" w:cstheme="majorBidi" w:eastAsia="Arial" w:eastAsiaTheme="majorEastAsia" w:hAnsi="Arial" w:hAnsiTheme="majorHAnsi"/>
      <w:b/>
      <w:bCs/>
      <w:color w:val="1F2937"/>
      <w:sz w:val="28"/>
      <w:szCs w:val="28"/>
    </w:rPr>
  </w:style>
  <w:style w:styleId="Heading2" w:type="paragraph">
    <w:name w:val="heading 2"/>
    <w:basedOn w:val="Normal"/>
    <w:next w:val="Normal"/>
    <w:link w:val="Heading2Char"/>
    <w:uiPriority w:val="9"/>
    <w:unhideWhenUsed/>
    <w:qFormat/>
    <w:rsid w:val="00FC693F"/>
    <w:pPr>
      <w:keepNext/>
      <w:keepLines/>
      <w:widowControl/>
      <w:spacing w:after="60" w:before="160" w:line="240" w:lineRule="auto"/>
      <w:outlineLvl w:val="1"/>
    </w:pPr>
    <w:rPr>
      <w:rFonts w:ascii="Arial" w:asciiTheme="majorHAnsi" w:cstheme="majorBidi" w:eastAsia="Arial" w:eastAsiaTheme="majorEastAsia" w:hAnsi="Arial" w:hAnsiTheme="majorHAnsi"/>
      <w:b/>
      <w:bCs/>
      <w:color w:val="1F2937"/>
      <w:sz w:val="23"/>
      <w:szCs w:val="26"/>
    </w:rPr>
  </w:style>
  <w:style w:styleId="Heading3" w:type="paragraph">
    <w:name w:val="heading 3"/>
    <w:basedOn w:val="Normal"/>
    <w:next w:val="Normal"/>
    <w:link w:val="Heading3Char"/>
    <w:uiPriority w:val="9"/>
    <w:unhideWhenUsed/>
    <w:qFormat/>
    <w:rsid w:val="00FC693F"/>
    <w:pPr>
      <w:keepNext/>
      <w:keepLines/>
      <w:widowControl/>
      <w:spacing w:after="40" w:before="120" w:line="240" w:lineRule="auto"/>
      <w:outlineLvl w:val="2"/>
    </w:pPr>
    <w:rPr>
      <w:rFonts w:ascii="Arial" w:asciiTheme="majorHAnsi" w:cstheme="majorBidi" w:eastAsia="Arial" w:eastAsiaTheme="majorEastAsia" w:hAnsi="Arial" w:hAnsiTheme="majorHAnsi"/>
      <w:b/>
      <w:bCs/>
      <w:color w:val="1F2937"/>
      <w:sz w:val="21"/>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widowControl/>
      <w:pBdr>
        <w:bottom w:color="4F81BD" w:space="4" w:sz="8" w:themeColor="accent1" w:val="single"/>
      </w:pBdr>
      <w:spacing w:after="160" w:before="0" w:line="240" w:lineRule="auto"/>
      <w:contextualSpacing/>
    </w:pPr>
    <w:rPr>
      <w:rFonts w:ascii="Arial" w:asciiTheme="majorHAnsi" w:cstheme="majorBidi" w:eastAsia="Arial" w:eastAsiaTheme="majorEastAsia" w:hAnsi="Arial" w:hAnsiTheme="majorHAnsi"/>
      <w:b/>
      <w:color w:val="1F2937"/>
      <w:spacing w:val="5"/>
      <w:kern w:val="28"/>
      <w:sz w:val="4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before="0" w:after="200" w:line="240" w:lineRule="auto"/>
    </w:pPr>
    <w:rPr>
      <w:rFonts w:asciiTheme="majorHAnsi" w:cstheme="majorBidi" w:eastAsiaTheme="majorEastAsia" w:hAnsiTheme="majorHAnsi" w:ascii="Arial" w:hAnsi="Arial"/>
      <w:b w:val="0"/>
      <w:i/>
      <w:iCs/>
      <w:color w:val="4A5E78"/>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80" w:before="0" w:line="252" w:lineRule="auto"/>
    </w:pPr>
    <w:rPr>
      <w:rFonts w:ascii="Arial" w:hAnsi="Arial"/>
      <w:b w:val="0"/>
      <w:color w:val="242424"/>
      <w:sz w:val="20"/>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before="0" w:after="40" w:line="252" w:lineRule="auto"/>
      <w:contextualSpacing/>
    </w:pPr>
    <w:rPr>
      <w:rFonts w:ascii="Arial" w:hAnsi="Arial"/>
      <w:b w:val="0"/>
      <w:color w:val="242424"/>
      <w:sz w:val="20"/>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before="0" w:after="40" w:line="252" w:lineRule="auto"/>
      <w:contextualSpacing/>
    </w:pPr>
    <w:rPr>
      <w:rFonts w:ascii="Arial" w:hAnsi="Arial"/>
      <w:b w:val="0"/>
      <w:color w:val="242424"/>
      <w:sz w:val="20"/>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pPr>
      <w:spacing w:before="80" w:after="80" w:line="240" w:lineRule="auto"/>
    </w:pPr>
    <w:rPr>
      <w:rFonts w:ascii="Arial" w:hAnsi="Arial"/>
      <w:b w:val="0"/>
      <w:i/>
      <w:iCs/>
      <w:color w:val="373737"/>
      <w:sz w:val="19"/>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SRCF Public Reference and Adoption Licence</dc:title>
  <dc:creator>London Reporting Academy Limited</dc:creator>
  <cp:keywords>SRCF; London Reporting Academy; governance; licensing; assessment; credentials; legal</cp:keywords>
  <dcterms:created xsi:type="dcterms:W3CDTF">2026-08-22T18:45:23Z</dcterms:created>
  <dcterms:modified xsi:type="dcterms:W3CDTF">2026-08-22T18:45:23Z</dcterms:modified>
  <cp:lastModifiedBy>London Reporting Academy Limited</cp:lastModifiedBy>
  <dc:subject>SRCF legal and governance architecture</dc:subject>
  <dc:description>Adoption-grade working document under the law of England and Wales.</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Licence version 1.2 - 22 August 2026</vt:lpwstr>
  </property>
  <property fmtid="{D5CDD505-2E9C-101B-9397-08002B2CF9AE}" pid="3" name="subtitle">
    <vt:lpwstr>Public access, internal adoption, academic reference and limited external use</vt:lpwstr>
  </property>
</Properties>
</file>